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D9" w:rsidRPr="007E7AA3" w:rsidRDefault="00BB5EB4" w:rsidP="001853D9">
      <w:pPr>
        <w:jc w:val="center"/>
        <w:rPr>
          <w:rFonts w:ascii="Times New Roman" w:hAnsi="Times New Roman"/>
          <w:sz w:val="24"/>
        </w:rPr>
      </w:pPr>
      <w:r w:rsidRPr="007E7AA3">
        <w:rPr>
          <w:rFonts w:ascii="Times New Roman" w:hAnsi="Times New Roman"/>
          <w:sz w:val="24"/>
        </w:rPr>
        <w:t xml:space="preserve">                                </w:t>
      </w:r>
    </w:p>
    <w:p w:rsidR="007E7AA3" w:rsidRDefault="00F2405B" w:rsidP="007E7AA3">
      <w:pPr>
        <w:rPr>
          <w:rFonts w:ascii="Times New Roman" w:hAnsi="Times New Roman"/>
          <w:b/>
          <w:sz w:val="24"/>
        </w:rPr>
      </w:pPr>
      <w:r w:rsidRPr="007E7AA3">
        <w:rPr>
          <w:rFonts w:ascii="Times New Roman" w:hAnsi="Times New Roman"/>
          <w:b/>
          <w:sz w:val="24"/>
        </w:rPr>
        <w:t>“</w:t>
      </w:r>
      <w:r w:rsidR="00B45882" w:rsidRPr="007E7AA3">
        <w:rPr>
          <w:rFonts w:ascii="Times New Roman" w:hAnsi="Times New Roman"/>
          <w:b/>
          <w:sz w:val="24"/>
        </w:rPr>
        <w:t>Zebra se za Tebe nerozhlédne</w:t>
      </w:r>
      <w:r w:rsidRPr="007E7AA3">
        <w:rPr>
          <w:rFonts w:ascii="Times New Roman" w:hAnsi="Times New Roman"/>
          <w:b/>
          <w:sz w:val="24"/>
        </w:rPr>
        <w:t>“</w:t>
      </w:r>
    </w:p>
    <w:p w:rsidR="007E7AA3" w:rsidRPr="007E7AA3" w:rsidRDefault="007E7AA3" w:rsidP="007E7AA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  <w:r w:rsidRPr="007E7AA3">
        <w:rPr>
          <w:rFonts w:ascii="Times New Roman" w:hAnsi="Times New Roman"/>
          <w:b/>
          <w:color w:val="000000"/>
          <w:sz w:val="24"/>
        </w:rPr>
        <w:t xml:space="preserve">MS kraj – </w:t>
      </w:r>
      <w:r>
        <w:rPr>
          <w:rFonts w:ascii="Times New Roman" w:hAnsi="Times New Roman"/>
          <w:b/>
          <w:color w:val="000000"/>
          <w:sz w:val="24"/>
        </w:rPr>
        <w:t>policisté se zaměřili na chodce</w:t>
      </w:r>
    </w:p>
    <w:p w:rsidR="00F2405B" w:rsidRPr="007E7AA3" w:rsidRDefault="00F2405B" w:rsidP="00E1382F">
      <w:pPr>
        <w:rPr>
          <w:rFonts w:ascii="Times New Roman" w:hAnsi="Times New Roman"/>
          <w:b/>
          <w:sz w:val="24"/>
        </w:rPr>
      </w:pPr>
    </w:p>
    <w:p w:rsidR="00821DAB" w:rsidRDefault="00AC6422" w:rsidP="00821DA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913848">
        <w:rPr>
          <w:rFonts w:ascii="Times New Roman" w:hAnsi="Times New Roman"/>
          <w:sz w:val="24"/>
        </w:rPr>
        <w:t>a začátku měsíce dubna</w:t>
      </w:r>
      <w:r w:rsidR="00821DAB" w:rsidRPr="007E7AA3">
        <w:rPr>
          <w:rFonts w:ascii="Times New Roman" w:hAnsi="Times New Roman"/>
          <w:sz w:val="24"/>
        </w:rPr>
        <w:t xml:space="preserve"> ve spolupráci s dopravními policisty v rámci celorepublikového projektu </w:t>
      </w:r>
      <w:r w:rsidR="00913848">
        <w:rPr>
          <w:rFonts w:ascii="Times New Roman" w:hAnsi="Times New Roman"/>
          <w:sz w:val="24"/>
        </w:rPr>
        <w:t xml:space="preserve">„Zebra se za Tebe </w:t>
      </w:r>
      <w:r>
        <w:rPr>
          <w:rFonts w:ascii="Times New Roman" w:hAnsi="Times New Roman"/>
          <w:sz w:val="24"/>
        </w:rPr>
        <w:t xml:space="preserve">nerozhlédne“ se </w:t>
      </w:r>
      <w:proofErr w:type="spellStart"/>
      <w:r>
        <w:rPr>
          <w:rFonts w:ascii="Times New Roman" w:hAnsi="Times New Roman"/>
          <w:sz w:val="24"/>
        </w:rPr>
        <w:t>p</w:t>
      </w:r>
      <w:r w:rsidRPr="007E7AA3">
        <w:rPr>
          <w:rFonts w:ascii="Times New Roman" w:hAnsi="Times New Roman"/>
          <w:sz w:val="24"/>
        </w:rPr>
        <w:t>reventisté</w:t>
      </w:r>
      <w:proofErr w:type="spellEnd"/>
      <w:r>
        <w:rPr>
          <w:rFonts w:ascii="Times New Roman" w:hAnsi="Times New Roman"/>
          <w:sz w:val="24"/>
        </w:rPr>
        <w:t xml:space="preserve"> napříč celým Moravskoslezským </w:t>
      </w:r>
      <w:r w:rsidRPr="007E7AA3">
        <w:rPr>
          <w:rFonts w:ascii="Times New Roman" w:hAnsi="Times New Roman"/>
          <w:sz w:val="24"/>
        </w:rPr>
        <w:t>kraje</w:t>
      </w:r>
      <w:r>
        <w:rPr>
          <w:rFonts w:ascii="Times New Roman" w:hAnsi="Times New Roman"/>
          <w:sz w:val="24"/>
        </w:rPr>
        <w:t xml:space="preserve">m </w:t>
      </w:r>
      <w:r w:rsidR="00913848">
        <w:rPr>
          <w:rFonts w:ascii="Times New Roman" w:hAnsi="Times New Roman"/>
          <w:sz w:val="24"/>
        </w:rPr>
        <w:t>zaměřili na chodce a</w:t>
      </w:r>
      <w:r w:rsidR="007E7AA3">
        <w:rPr>
          <w:rFonts w:ascii="Times New Roman" w:hAnsi="Times New Roman"/>
          <w:sz w:val="24"/>
        </w:rPr>
        <w:t xml:space="preserve"> působili</w:t>
      </w:r>
      <w:r w:rsidR="00821DAB" w:rsidRPr="007E7AA3">
        <w:rPr>
          <w:rFonts w:ascii="Times New Roman" w:hAnsi="Times New Roman"/>
          <w:sz w:val="24"/>
        </w:rPr>
        <w:t xml:space="preserve"> na přechodech v blízkosti základních škol</w:t>
      </w:r>
      <w:r>
        <w:rPr>
          <w:rFonts w:ascii="Times New Roman" w:hAnsi="Times New Roman"/>
          <w:sz w:val="24"/>
        </w:rPr>
        <w:t>, kde oslovovali</w:t>
      </w:r>
      <w:r w:rsidR="007E7AA3">
        <w:rPr>
          <w:rFonts w:ascii="Times New Roman" w:hAnsi="Times New Roman"/>
          <w:sz w:val="24"/>
        </w:rPr>
        <w:t xml:space="preserve"> nejen</w:t>
      </w:r>
      <w:r w:rsidR="00821DAB" w:rsidRPr="007E7AA3">
        <w:rPr>
          <w:rFonts w:ascii="Times New Roman" w:hAnsi="Times New Roman"/>
          <w:sz w:val="24"/>
        </w:rPr>
        <w:t xml:space="preserve"> školáky</w:t>
      </w:r>
      <w:r w:rsidR="00317800">
        <w:rPr>
          <w:rFonts w:ascii="Times New Roman" w:hAnsi="Times New Roman"/>
          <w:sz w:val="24"/>
        </w:rPr>
        <w:t>, ale i ostatní účastníky silničního provozu</w:t>
      </w:r>
      <w:r w:rsidR="00821DAB" w:rsidRPr="007E7AA3">
        <w:rPr>
          <w:rFonts w:ascii="Times New Roman" w:hAnsi="Times New Roman"/>
          <w:sz w:val="24"/>
        </w:rPr>
        <w:t>, aby nepodceňovali možná rizika při pohybu na dopravních komunikacích a v jejich blízkostech.</w:t>
      </w:r>
      <w:r w:rsidR="00AC12C4">
        <w:rPr>
          <w:rFonts w:ascii="Times New Roman" w:hAnsi="Times New Roman"/>
          <w:sz w:val="24"/>
        </w:rPr>
        <w:t xml:space="preserve"> </w:t>
      </w:r>
      <w:proofErr w:type="spellStart"/>
      <w:r w:rsidR="00AC12C4">
        <w:rPr>
          <w:rFonts w:ascii="Times New Roman" w:hAnsi="Times New Roman"/>
          <w:sz w:val="24"/>
        </w:rPr>
        <w:t>Preventisté</w:t>
      </w:r>
      <w:proofErr w:type="spellEnd"/>
      <w:r w:rsidR="00AC12C4">
        <w:rPr>
          <w:rFonts w:ascii="Times New Roman" w:hAnsi="Times New Roman"/>
          <w:sz w:val="24"/>
        </w:rPr>
        <w:t xml:space="preserve"> přednášeli také ve třídách základních škol. </w:t>
      </w:r>
      <w:bookmarkStart w:id="0" w:name="_GoBack"/>
      <w:bookmarkEnd w:id="0"/>
    </w:p>
    <w:p w:rsidR="00AC6422" w:rsidRPr="007E7AA3" w:rsidRDefault="00AC6422" w:rsidP="00821DAB">
      <w:pPr>
        <w:ind w:firstLine="708"/>
        <w:jc w:val="both"/>
        <w:rPr>
          <w:rFonts w:ascii="Times New Roman" w:hAnsi="Times New Roman"/>
          <w:sz w:val="24"/>
        </w:rPr>
      </w:pPr>
    </w:p>
    <w:p w:rsidR="00317800" w:rsidRPr="00317800" w:rsidRDefault="00317800" w:rsidP="0031780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Dle § 2 </w:t>
      </w:r>
      <w:proofErr w:type="gramStart"/>
      <w:r>
        <w:rPr>
          <w:rFonts w:ascii="Times New Roman" w:hAnsi="Times New Roman"/>
          <w:sz w:val="24"/>
        </w:rPr>
        <w:t xml:space="preserve">písm. a) </w:t>
      </w:r>
      <w:proofErr w:type="spellStart"/>
      <w:r w:rsidRPr="007E7AA3">
        <w:rPr>
          <w:rFonts w:ascii="Times New Roman" w:hAnsi="Times New Roman"/>
          <w:sz w:val="24"/>
        </w:rPr>
        <w:t>z.č</w:t>
      </w:r>
      <w:proofErr w:type="spellEnd"/>
      <w:r w:rsidRPr="007E7AA3">
        <w:rPr>
          <w:rFonts w:ascii="Times New Roman" w:hAnsi="Times New Roman"/>
          <w:sz w:val="24"/>
        </w:rPr>
        <w:t>.</w:t>
      </w:r>
      <w:proofErr w:type="gramEnd"/>
      <w:r w:rsidRPr="007E7AA3">
        <w:rPr>
          <w:rFonts w:ascii="Times New Roman" w:hAnsi="Times New Roman"/>
          <w:sz w:val="24"/>
        </w:rPr>
        <w:t xml:space="preserve"> 361/2000 Sb.,</w:t>
      </w:r>
      <w:r>
        <w:rPr>
          <w:rFonts w:ascii="Times New Roman" w:hAnsi="Times New Roman"/>
          <w:sz w:val="24"/>
        </w:rPr>
        <w:t xml:space="preserve"> </w:t>
      </w:r>
      <w:r w:rsidRPr="007E7AA3">
        <w:rPr>
          <w:rFonts w:ascii="Times New Roman" w:hAnsi="Times New Roman"/>
          <w:i/>
          <w:sz w:val="24"/>
        </w:rPr>
        <w:t>„účastníkem provozu na pozemních komunikacích je každý, kdo se přímým způsobem účastní provozu na pozemních komunikacích.</w:t>
      </w:r>
      <w:r>
        <w:rPr>
          <w:rFonts w:ascii="Times New Roman" w:hAnsi="Times New Roman"/>
          <w:i/>
          <w:sz w:val="24"/>
        </w:rPr>
        <w:t>“</w:t>
      </w:r>
    </w:p>
    <w:p w:rsidR="00E1382F" w:rsidRPr="007E7AA3" w:rsidRDefault="00E1382F" w:rsidP="006F77D9">
      <w:pPr>
        <w:jc w:val="both"/>
        <w:rPr>
          <w:rFonts w:ascii="Times New Roman" w:hAnsi="Times New Roman"/>
          <w:sz w:val="24"/>
        </w:rPr>
      </w:pPr>
    </w:p>
    <w:p w:rsidR="00821DAB" w:rsidRPr="007E7AA3" w:rsidRDefault="00317800" w:rsidP="0031780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="00821DAB" w:rsidRPr="007E7AA3">
        <w:rPr>
          <w:rFonts w:ascii="Times New Roman" w:hAnsi="Times New Roman"/>
          <w:sz w:val="24"/>
        </w:rPr>
        <w:t xml:space="preserve">olize vozidla s chodcem je převážně způsobena samotnou nepozorností, kdy se chodec před vstupem do vozovky řádně nerozhlédne, nesoustředí se na provoz vozidel například poslechem hudby přes sluchátka, </w:t>
      </w:r>
      <w:r>
        <w:rPr>
          <w:rFonts w:ascii="Times New Roman" w:hAnsi="Times New Roman"/>
          <w:sz w:val="24"/>
        </w:rPr>
        <w:t>sledováním mobilního telefonu</w:t>
      </w:r>
      <w:r w:rsidR="00821DAB" w:rsidRPr="007E7AA3">
        <w:rPr>
          <w:rFonts w:ascii="Times New Roman" w:hAnsi="Times New Roman"/>
          <w:sz w:val="24"/>
        </w:rPr>
        <w:t>, za snížené viditelnosti</w:t>
      </w:r>
      <w:r w:rsidR="00AC12C4">
        <w:rPr>
          <w:rFonts w:ascii="Times New Roman" w:hAnsi="Times New Roman"/>
          <w:sz w:val="24"/>
        </w:rPr>
        <w:t>,</w:t>
      </w:r>
      <w:r w:rsidR="00821DAB" w:rsidRPr="007E7AA3">
        <w:rPr>
          <w:rFonts w:ascii="Times New Roman" w:hAnsi="Times New Roman"/>
          <w:sz w:val="24"/>
        </w:rPr>
        <w:t xml:space="preserve"> není vybaven reflexními prvky apod. </w:t>
      </w:r>
    </w:p>
    <w:p w:rsidR="00821DAB" w:rsidRPr="007E7AA3" w:rsidRDefault="00317800" w:rsidP="0031780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Chodec jakožto účastník</w:t>
      </w:r>
      <w:r w:rsidR="00821DAB" w:rsidRPr="007E7AA3">
        <w:rPr>
          <w:rFonts w:ascii="Times New Roman" w:hAnsi="Times New Roman"/>
          <w:sz w:val="24"/>
        </w:rPr>
        <w:t xml:space="preserve"> provozu n</w:t>
      </w:r>
      <w:r>
        <w:rPr>
          <w:rFonts w:ascii="Times New Roman" w:hAnsi="Times New Roman"/>
          <w:sz w:val="24"/>
        </w:rPr>
        <w:t xml:space="preserve">a pozemních komunikacích </w:t>
      </w:r>
      <w:r w:rsidR="00821DAB" w:rsidRPr="007E7AA3">
        <w:rPr>
          <w:rFonts w:ascii="Times New Roman" w:hAnsi="Times New Roman"/>
          <w:sz w:val="24"/>
        </w:rPr>
        <w:t>musí respektovat určitá pravidla.</w:t>
      </w:r>
    </w:p>
    <w:p w:rsidR="00821DAB" w:rsidRPr="007E7AA3" w:rsidRDefault="00821DAB" w:rsidP="00821DAB">
      <w:pPr>
        <w:jc w:val="both"/>
        <w:rPr>
          <w:rFonts w:ascii="Times New Roman" w:hAnsi="Times New Roman"/>
          <w:sz w:val="24"/>
        </w:rPr>
      </w:pPr>
    </w:p>
    <w:p w:rsidR="00821DAB" w:rsidRPr="00317800" w:rsidRDefault="00821DAB" w:rsidP="00821DAB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 xml:space="preserve">Proto nezapomínejte: </w:t>
      </w:r>
    </w:p>
    <w:p w:rsidR="00821DAB" w:rsidRPr="007E7AA3" w:rsidRDefault="00821DAB" w:rsidP="00821DAB">
      <w:pPr>
        <w:jc w:val="both"/>
        <w:rPr>
          <w:rFonts w:ascii="Times New Roman" w:hAnsi="Times New Roman"/>
          <w:sz w:val="24"/>
        </w:rPr>
      </w:pPr>
    </w:p>
    <w:p w:rsidR="00317800" w:rsidRPr="00317800" w:rsidRDefault="00317800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Ne vždy má chodec přednost, tu dávejte vozidlům IZS (hasiči, policie, záchranka), kteří mají zapnuté výstražné zvukové či světelné zařízení.</w:t>
      </w:r>
    </w:p>
    <w:p w:rsidR="00317800" w:rsidRPr="00317800" w:rsidRDefault="00317800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Používej reflexní prvky za snížené viditelnosti, v zimním období, v době nepřízně počasí (déšť, sníh, mlha).</w:t>
      </w:r>
    </w:p>
    <w:p w:rsidR="00317800" w:rsidRPr="00317800" w:rsidRDefault="00317800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V případě přepravy do školy vozem, dbejte na bezpečnostní pásy a bezpečné vystupování.</w:t>
      </w:r>
    </w:p>
    <w:p w:rsidR="00317800" w:rsidRPr="00317800" w:rsidRDefault="00317800" w:rsidP="00317800">
      <w:pPr>
        <w:jc w:val="both"/>
        <w:rPr>
          <w:rFonts w:ascii="Times New Roman" w:hAnsi="Times New Roman"/>
          <w:i/>
          <w:sz w:val="24"/>
        </w:rPr>
      </w:pPr>
      <w:r w:rsidRPr="00317800">
        <w:rPr>
          <w:rFonts w:ascii="Times New Roman" w:hAnsi="Times New Roman"/>
          <w:sz w:val="24"/>
        </w:rPr>
        <w:t>Při jízdě MHD vstupujte k autobusu apod., až když zastaví na zastávce.</w:t>
      </w:r>
    </w:p>
    <w:p w:rsidR="00821DAB" w:rsidRPr="00317800" w:rsidRDefault="00821DAB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Pro Vaší bezpečnost při cestě do školy si zvolte takovou cestu, která bude nejméně riziková.</w:t>
      </w:r>
    </w:p>
    <w:p w:rsidR="00821DAB" w:rsidRPr="00317800" w:rsidRDefault="00821DAB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Po chodníku choďte vždy vpravo.</w:t>
      </w:r>
    </w:p>
    <w:p w:rsidR="00821DAB" w:rsidRPr="00317800" w:rsidRDefault="00821DAB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Po silnici choďte vlevo při krajnici.</w:t>
      </w:r>
    </w:p>
    <w:p w:rsidR="00821DAB" w:rsidRPr="00317800" w:rsidRDefault="00821DAB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>Přecházejte na místech tomu určených (přechody, nadchody, podchody pro chodce)</w:t>
      </w:r>
    </w:p>
    <w:p w:rsidR="00821DAB" w:rsidRPr="00317800" w:rsidRDefault="00821DAB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 xml:space="preserve">Před vstupem na přechod se rozhlédněte, přecházejte po přechodě vpravo, během přecházení se ještě jednou ujistěte, že nic nejede. </w:t>
      </w:r>
    </w:p>
    <w:p w:rsidR="00821DAB" w:rsidRPr="00317800" w:rsidRDefault="00821DAB" w:rsidP="00317800">
      <w:pPr>
        <w:jc w:val="both"/>
        <w:rPr>
          <w:rFonts w:ascii="Times New Roman" w:hAnsi="Times New Roman"/>
          <w:sz w:val="24"/>
        </w:rPr>
      </w:pPr>
      <w:r w:rsidRPr="00317800">
        <w:rPr>
          <w:rFonts w:ascii="Times New Roman" w:hAnsi="Times New Roman"/>
          <w:sz w:val="24"/>
        </w:rPr>
        <w:t xml:space="preserve">Přecházej pouze na zelenou, nepřecházej mezi auty. </w:t>
      </w:r>
    </w:p>
    <w:p w:rsidR="00821DAB" w:rsidRPr="007E7AA3" w:rsidRDefault="00821DAB" w:rsidP="00821DAB">
      <w:pPr>
        <w:jc w:val="both"/>
        <w:rPr>
          <w:rFonts w:ascii="Times New Roman" w:hAnsi="Times New Roman"/>
          <w:i/>
          <w:sz w:val="24"/>
        </w:rPr>
      </w:pPr>
    </w:p>
    <w:p w:rsidR="00821DAB" w:rsidRPr="007E7AA3" w:rsidRDefault="00821DAB" w:rsidP="00691252">
      <w:pPr>
        <w:ind w:firstLine="708"/>
        <w:jc w:val="both"/>
        <w:rPr>
          <w:rFonts w:ascii="Times New Roman" w:hAnsi="Times New Roman"/>
          <w:sz w:val="24"/>
        </w:rPr>
      </w:pPr>
    </w:p>
    <w:p w:rsidR="001853D9" w:rsidRPr="007E7AA3" w:rsidRDefault="001853D9" w:rsidP="001853D9">
      <w:pPr>
        <w:jc w:val="both"/>
        <w:rPr>
          <w:rFonts w:ascii="Times New Roman" w:hAnsi="Times New Roman"/>
          <w:sz w:val="24"/>
        </w:rPr>
      </w:pPr>
    </w:p>
    <w:p w:rsidR="00D90937" w:rsidRDefault="00D90937" w:rsidP="00D909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Kraj</w:t>
      </w:r>
      <w:r w:rsidRPr="00D14CF8">
        <w:rPr>
          <w:rFonts w:ascii="Times New Roman" w:hAnsi="Times New Roman"/>
          <w:sz w:val="24"/>
        </w:rPr>
        <w:t>ské ředitelství policie Moravskoslezského kraje</w:t>
      </w:r>
      <w:r w:rsidRPr="00D14CF8">
        <w:rPr>
          <w:rFonts w:ascii="Times New Roman" w:hAnsi="Times New Roman"/>
          <w:sz w:val="24"/>
        </w:rPr>
        <w:br/>
        <w:t xml:space="preserve">por. </w:t>
      </w:r>
      <w:r>
        <w:rPr>
          <w:rFonts w:ascii="Times New Roman" w:hAnsi="Times New Roman"/>
          <w:sz w:val="24"/>
        </w:rPr>
        <w:t>Bc. Lucie Galiová</w:t>
      </w:r>
      <w:r>
        <w:rPr>
          <w:rFonts w:ascii="Times New Roman" w:hAnsi="Times New Roman"/>
          <w:sz w:val="24"/>
        </w:rPr>
        <w:br/>
        <w:t>komisař</w:t>
      </w:r>
    </w:p>
    <w:p w:rsidR="007F55A2" w:rsidRPr="007E7AA3" w:rsidRDefault="00AC12C4" w:rsidP="001853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dubna</w:t>
      </w:r>
      <w:r w:rsidR="00913848">
        <w:rPr>
          <w:rFonts w:ascii="Times New Roman" w:hAnsi="Times New Roman"/>
          <w:sz w:val="24"/>
        </w:rPr>
        <w:t xml:space="preserve"> 2023</w:t>
      </w:r>
    </w:p>
    <w:p w:rsidR="005C12D8" w:rsidRPr="007E7AA3" w:rsidRDefault="005C12D8" w:rsidP="001853D9">
      <w:pPr>
        <w:rPr>
          <w:rFonts w:ascii="Times New Roman" w:hAnsi="Times New Roman"/>
          <w:sz w:val="24"/>
        </w:rPr>
      </w:pPr>
    </w:p>
    <w:p w:rsidR="0021101C" w:rsidRDefault="0023242E" w:rsidP="001853D9">
      <w:pPr>
        <w:rPr>
          <w:rFonts w:ascii="Times New Roman" w:hAnsi="Times New Roman"/>
          <w:noProof/>
          <w:sz w:val="24"/>
        </w:rPr>
      </w:pPr>
      <w:r w:rsidRPr="007E7AA3">
        <w:rPr>
          <w:rFonts w:ascii="Times New Roman" w:hAnsi="Times New Roman"/>
          <w:sz w:val="24"/>
        </w:rPr>
        <w:t xml:space="preserve"> </w:t>
      </w:r>
    </w:p>
    <w:p w:rsidR="005C12D8" w:rsidRPr="007E7AA3" w:rsidRDefault="005C12D8" w:rsidP="001853D9">
      <w:pPr>
        <w:rPr>
          <w:rFonts w:ascii="Times New Roman" w:hAnsi="Times New Roman"/>
          <w:sz w:val="24"/>
        </w:rPr>
      </w:pPr>
    </w:p>
    <w:sectPr w:rsidR="005C12D8" w:rsidRPr="007E7AA3" w:rsidSect="003838FA">
      <w:footerReference w:type="default" r:id="rId8"/>
      <w:headerReference w:type="first" r:id="rId9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B8" w:rsidRDefault="004B22B8">
      <w:r>
        <w:separator/>
      </w:r>
    </w:p>
  </w:endnote>
  <w:endnote w:type="continuationSeparator" w:id="0">
    <w:p w:rsidR="004B22B8" w:rsidRDefault="004B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5D5" w:rsidRDefault="009615D5" w:rsidP="009615D5">
    <w:pPr>
      <w:pStyle w:val="Zpat"/>
    </w:pPr>
    <w:r>
      <w:t>Špálova 3</w:t>
    </w:r>
  </w:p>
  <w:p w:rsidR="009615D5" w:rsidRDefault="009615D5" w:rsidP="009615D5">
    <w:pPr>
      <w:pStyle w:val="Zpat"/>
    </w:pPr>
    <w:r>
      <w:t>702 00 Ostrava</w:t>
    </w:r>
  </w:p>
  <w:p w:rsidR="009615D5" w:rsidRDefault="009615D5" w:rsidP="009615D5">
    <w:pPr>
      <w:pStyle w:val="Zpat"/>
    </w:pPr>
  </w:p>
  <w:p w:rsidR="009615D5" w:rsidRDefault="009615D5" w:rsidP="009615D5">
    <w:pPr>
      <w:pStyle w:val="Zpat"/>
    </w:pPr>
    <w:r>
      <w:t>Tel.: +420 974 732 207</w:t>
    </w:r>
  </w:p>
  <w:p w:rsidR="009615D5" w:rsidRDefault="009615D5" w:rsidP="009615D5">
    <w:pPr>
      <w:pStyle w:val="Zpat"/>
    </w:pPr>
    <w:r>
      <w:t>Email: krpt.prevence@pcr.cz</w:t>
    </w:r>
  </w:p>
  <w:p w:rsidR="00F04AAB" w:rsidRDefault="009615D5" w:rsidP="005C020E">
    <w:pPr>
      <w:pStyle w:val="Zpat"/>
      <w:jc w:val="right"/>
    </w:pPr>
    <w:r>
      <w:rPr>
        <w:noProof/>
      </w:rPr>
      <w:drawing>
        <wp:anchor distT="0" distB="0" distL="114300" distR="114300" simplePos="0" relativeHeight="251662336" behindDoc="0" locked="1" layoutInCell="1" allowOverlap="1" wp14:anchorId="3B2898D9" wp14:editId="1F7C89DC">
          <wp:simplePos x="0" y="0"/>
          <wp:positionH relativeFrom="page">
            <wp:posOffset>720090</wp:posOffset>
          </wp:positionH>
          <wp:positionV relativeFrom="page">
            <wp:posOffset>10107295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20E">
      <w:rPr>
        <w:rStyle w:val="slostrnky"/>
      </w:rPr>
      <w:fldChar w:fldCharType="begin"/>
    </w:r>
    <w:r w:rsidR="005C020E">
      <w:rPr>
        <w:rStyle w:val="slostrnky"/>
      </w:rPr>
      <w:instrText xml:space="preserve"> PAGE </w:instrText>
    </w:r>
    <w:r w:rsidR="005C020E">
      <w:rPr>
        <w:rStyle w:val="slostrnky"/>
      </w:rPr>
      <w:fldChar w:fldCharType="separate"/>
    </w:r>
    <w:r w:rsidR="00AC12C4">
      <w:rPr>
        <w:rStyle w:val="slostrnky"/>
        <w:noProof/>
      </w:rPr>
      <w:t>2</w:t>
    </w:r>
    <w:r w:rsidR="005C020E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B8" w:rsidRDefault="004B22B8">
      <w:r>
        <w:separator/>
      </w:r>
    </w:p>
  </w:footnote>
  <w:footnote w:type="continuationSeparator" w:id="0">
    <w:p w:rsidR="004B22B8" w:rsidRDefault="004B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06B"/>
    <w:multiLevelType w:val="hybridMultilevel"/>
    <w:tmpl w:val="EF5E7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7858"/>
    <w:multiLevelType w:val="hybridMultilevel"/>
    <w:tmpl w:val="4B0C8C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F635B"/>
    <w:multiLevelType w:val="hybridMultilevel"/>
    <w:tmpl w:val="A356BA9A"/>
    <w:lvl w:ilvl="0" w:tplc="409C0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5110"/>
    <w:multiLevelType w:val="hybridMultilevel"/>
    <w:tmpl w:val="6F687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85124"/>
    <w:multiLevelType w:val="hybridMultilevel"/>
    <w:tmpl w:val="9920E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F4020"/>
    <w:multiLevelType w:val="hybridMultilevel"/>
    <w:tmpl w:val="487870DA"/>
    <w:lvl w:ilvl="0" w:tplc="0B3AFBF4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85FD2"/>
    <w:rsid w:val="0009055C"/>
    <w:rsid w:val="000A74DA"/>
    <w:rsid w:val="000B6E14"/>
    <w:rsid w:val="000C5AEC"/>
    <w:rsid w:val="000C5E1D"/>
    <w:rsid w:val="000D7A75"/>
    <w:rsid w:val="000E55AB"/>
    <w:rsid w:val="000F1344"/>
    <w:rsid w:val="000F2EF4"/>
    <w:rsid w:val="00107854"/>
    <w:rsid w:val="001275D9"/>
    <w:rsid w:val="00135E71"/>
    <w:rsid w:val="001634F4"/>
    <w:rsid w:val="00166B7A"/>
    <w:rsid w:val="00176E76"/>
    <w:rsid w:val="001853D9"/>
    <w:rsid w:val="00193955"/>
    <w:rsid w:val="00197CDE"/>
    <w:rsid w:val="001A797D"/>
    <w:rsid w:val="001C4E5C"/>
    <w:rsid w:val="001C5683"/>
    <w:rsid w:val="001D547F"/>
    <w:rsid w:val="001D65A2"/>
    <w:rsid w:val="001E635F"/>
    <w:rsid w:val="001E7841"/>
    <w:rsid w:val="001F22B7"/>
    <w:rsid w:val="001F3DA8"/>
    <w:rsid w:val="00201308"/>
    <w:rsid w:val="00207D29"/>
    <w:rsid w:val="00210F4C"/>
    <w:rsid w:val="0021101C"/>
    <w:rsid w:val="00222981"/>
    <w:rsid w:val="002251F8"/>
    <w:rsid w:val="002270F0"/>
    <w:rsid w:val="0023242E"/>
    <w:rsid w:val="0024234D"/>
    <w:rsid w:val="002438F1"/>
    <w:rsid w:val="0026523C"/>
    <w:rsid w:val="00281F8A"/>
    <w:rsid w:val="002A408F"/>
    <w:rsid w:val="002D14F9"/>
    <w:rsid w:val="002D1ABB"/>
    <w:rsid w:val="002E1C8E"/>
    <w:rsid w:val="002E7A5F"/>
    <w:rsid w:val="003033CD"/>
    <w:rsid w:val="0031299C"/>
    <w:rsid w:val="0031453B"/>
    <w:rsid w:val="00317800"/>
    <w:rsid w:val="0033047A"/>
    <w:rsid w:val="00331E8A"/>
    <w:rsid w:val="00335458"/>
    <w:rsid w:val="00355976"/>
    <w:rsid w:val="00380C7E"/>
    <w:rsid w:val="003838FA"/>
    <w:rsid w:val="00387D5E"/>
    <w:rsid w:val="00393CF3"/>
    <w:rsid w:val="00394D69"/>
    <w:rsid w:val="003B0197"/>
    <w:rsid w:val="003E0E50"/>
    <w:rsid w:val="003F70BD"/>
    <w:rsid w:val="0040129D"/>
    <w:rsid w:val="00404627"/>
    <w:rsid w:val="00476DDB"/>
    <w:rsid w:val="0048766A"/>
    <w:rsid w:val="00492497"/>
    <w:rsid w:val="00496DB1"/>
    <w:rsid w:val="004B22B8"/>
    <w:rsid w:val="004B4642"/>
    <w:rsid w:val="004B5AA5"/>
    <w:rsid w:val="004C0DC7"/>
    <w:rsid w:val="004C509E"/>
    <w:rsid w:val="004D2726"/>
    <w:rsid w:val="004D2BEB"/>
    <w:rsid w:val="004D3A46"/>
    <w:rsid w:val="004D4994"/>
    <w:rsid w:val="004F4D70"/>
    <w:rsid w:val="004F6754"/>
    <w:rsid w:val="00502C05"/>
    <w:rsid w:val="00507005"/>
    <w:rsid w:val="0052552C"/>
    <w:rsid w:val="00533498"/>
    <w:rsid w:val="00550967"/>
    <w:rsid w:val="005527C1"/>
    <w:rsid w:val="005527FA"/>
    <w:rsid w:val="0055746C"/>
    <w:rsid w:val="00577068"/>
    <w:rsid w:val="005A292B"/>
    <w:rsid w:val="005B1BF0"/>
    <w:rsid w:val="005B2342"/>
    <w:rsid w:val="005C020E"/>
    <w:rsid w:val="005C12B7"/>
    <w:rsid w:val="005C12D8"/>
    <w:rsid w:val="005D6E78"/>
    <w:rsid w:val="005E09B3"/>
    <w:rsid w:val="005E2064"/>
    <w:rsid w:val="00605452"/>
    <w:rsid w:val="00607390"/>
    <w:rsid w:val="00607E25"/>
    <w:rsid w:val="00610AAC"/>
    <w:rsid w:val="00613514"/>
    <w:rsid w:val="006366D5"/>
    <w:rsid w:val="006425C5"/>
    <w:rsid w:val="00652F98"/>
    <w:rsid w:val="00654C73"/>
    <w:rsid w:val="00655EDC"/>
    <w:rsid w:val="006659FB"/>
    <w:rsid w:val="00685018"/>
    <w:rsid w:val="006867E9"/>
    <w:rsid w:val="00687406"/>
    <w:rsid w:val="00691252"/>
    <w:rsid w:val="006B0B59"/>
    <w:rsid w:val="006B1A86"/>
    <w:rsid w:val="006B63F7"/>
    <w:rsid w:val="006C13C9"/>
    <w:rsid w:val="006C29C4"/>
    <w:rsid w:val="006D2E1E"/>
    <w:rsid w:val="006D6A31"/>
    <w:rsid w:val="006E347D"/>
    <w:rsid w:val="006E701B"/>
    <w:rsid w:val="006F0F0D"/>
    <w:rsid w:val="006F1EDB"/>
    <w:rsid w:val="006F77D9"/>
    <w:rsid w:val="00701E25"/>
    <w:rsid w:val="00713CE4"/>
    <w:rsid w:val="007351CF"/>
    <w:rsid w:val="007458D4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3FDA"/>
    <w:rsid w:val="007C71B0"/>
    <w:rsid w:val="007D234D"/>
    <w:rsid w:val="007D6D61"/>
    <w:rsid w:val="007E7AA3"/>
    <w:rsid w:val="007F55A2"/>
    <w:rsid w:val="00800DDD"/>
    <w:rsid w:val="0080548A"/>
    <w:rsid w:val="0080750F"/>
    <w:rsid w:val="00812E88"/>
    <w:rsid w:val="00821DAB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95395"/>
    <w:rsid w:val="008B6BDC"/>
    <w:rsid w:val="008D239C"/>
    <w:rsid w:val="008F6718"/>
    <w:rsid w:val="00913848"/>
    <w:rsid w:val="009206AE"/>
    <w:rsid w:val="009229FB"/>
    <w:rsid w:val="0092632C"/>
    <w:rsid w:val="0093501E"/>
    <w:rsid w:val="00937C81"/>
    <w:rsid w:val="00953C55"/>
    <w:rsid w:val="009548A6"/>
    <w:rsid w:val="009615D5"/>
    <w:rsid w:val="009632E9"/>
    <w:rsid w:val="00963E32"/>
    <w:rsid w:val="00974D76"/>
    <w:rsid w:val="00977565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9F733A"/>
    <w:rsid w:val="00A00782"/>
    <w:rsid w:val="00A205F4"/>
    <w:rsid w:val="00A21995"/>
    <w:rsid w:val="00AA4972"/>
    <w:rsid w:val="00AA5393"/>
    <w:rsid w:val="00AB4170"/>
    <w:rsid w:val="00AB49CE"/>
    <w:rsid w:val="00AC12C4"/>
    <w:rsid w:val="00AC6422"/>
    <w:rsid w:val="00AD1462"/>
    <w:rsid w:val="00AD335B"/>
    <w:rsid w:val="00AF0B13"/>
    <w:rsid w:val="00B05436"/>
    <w:rsid w:val="00B17289"/>
    <w:rsid w:val="00B32083"/>
    <w:rsid w:val="00B3241A"/>
    <w:rsid w:val="00B35D62"/>
    <w:rsid w:val="00B45882"/>
    <w:rsid w:val="00B601BA"/>
    <w:rsid w:val="00B77A9B"/>
    <w:rsid w:val="00B77FF3"/>
    <w:rsid w:val="00BA563D"/>
    <w:rsid w:val="00BB5EB4"/>
    <w:rsid w:val="00BD37AC"/>
    <w:rsid w:val="00BD6A14"/>
    <w:rsid w:val="00BE2117"/>
    <w:rsid w:val="00BE5AF8"/>
    <w:rsid w:val="00C02632"/>
    <w:rsid w:val="00C12AB3"/>
    <w:rsid w:val="00C25FD5"/>
    <w:rsid w:val="00C367A2"/>
    <w:rsid w:val="00C472C7"/>
    <w:rsid w:val="00C57DBF"/>
    <w:rsid w:val="00C615E8"/>
    <w:rsid w:val="00C70864"/>
    <w:rsid w:val="00C70F2F"/>
    <w:rsid w:val="00C915D8"/>
    <w:rsid w:val="00CA476C"/>
    <w:rsid w:val="00CB2BE4"/>
    <w:rsid w:val="00CB5C82"/>
    <w:rsid w:val="00CB7927"/>
    <w:rsid w:val="00CC3F07"/>
    <w:rsid w:val="00CC663D"/>
    <w:rsid w:val="00CD4493"/>
    <w:rsid w:val="00CD4B0A"/>
    <w:rsid w:val="00CF5BA6"/>
    <w:rsid w:val="00CF6863"/>
    <w:rsid w:val="00D0446A"/>
    <w:rsid w:val="00D12973"/>
    <w:rsid w:val="00D25C85"/>
    <w:rsid w:val="00D27EC7"/>
    <w:rsid w:val="00D53355"/>
    <w:rsid w:val="00D56255"/>
    <w:rsid w:val="00D63BC5"/>
    <w:rsid w:val="00D77142"/>
    <w:rsid w:val="00D81FA4"/>
    <w:rsid w:val="00D90937"/>
    <w:rsid w:val="00D9194D"/>
    <w:rsid w:val="00D93844"/>
    <w:rsid w:val="00DB6D01"/>
    <w:rsid w:val="00DC1673"/>
    <w:rsid w:val="00DE385F"/>
    <w:rsid w:val="00DF7105"/>
    <w:rsid w:val="00E0224F"/>
    <w:rsid w:val="00E1327C"/>
    <w:rsid w:val="00E1382F"/>
    <w:rsid w:val="00E158BC"/>
    <w:rsid w:val="00E21DB1"/>
    <w:rsid w:val="00E31291"/>
    <w:rsid w:val="00E324F5"/>
    <w:rsid w:val="00E55D1A"/>
    <w:rsid w:val="00E56576"/>
    <w:rsid w:val="00E56EE2"/>
    <w:rsid w:val="00E6173C"/>
    <w:rsid w:val="00E66E9B"/>
    <w:rsid w:val="00E83B4F"/>
    <w:rsid w:val="00EA06CA"/>
    <w:rsid w:val="00EA7854"/>
    <w:rsid w:val="00EC3E8B"/>
    <w:rsid w:val="00ED6516"/>
    <w:rsid w:val="00ED7481"/>
    <w:rsid w:val="00EF49E0"/>
    <w:rsid w:val="00EF5F62"/>
    <w:rsid w:val="00F02C62"/>
    <w:rsid w:val="00F04AAB"/>
    <w:rsid w:val="00F06305"/>
    <w:rsid w:val="00F06757"/>
    <w:rsid w:val="00F2405B"/>
    <w:rsid w:val="00F2713B"/>
    <w:rsid w:val="00F30ED6"/>
    <w:rsid w:val="00F33D81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1CC7"/>
    <w:rsid w:val="00FB7A58"/>
    <w:rsid w:val="00FE223C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20F710CC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ata">
    <w:name w:val="_data"/>
    <w:uiPriority w:val="99"/>
    <w:rsid w:val="0021101C"/>
    <w:rPr>
      <w:rFonts w:ascii="Times New Roman" w:hAnsi="Times New Roman"/>
      <w:spacing w:val="0"/>
      <w:kern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563E-7FB0-4949-BBB8-F4635468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515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Bc. GALIOVÁ Lucie</cp:lastModifiedBy>
  <cp:revision>31</cp:revision>
  <cp:lastPrinted>2020-05-22T09:04:00Z</cp:lastPrinted>
  <dcterms:created xsi:type="dcterms:W3CDTF">2020-07-05T17:59:00Z</dcterms:created>
  <dcterms:modified xsi:type="dcterms:W3CDTF">2023-04-05T05:17:00Z</dcterms:modified>
</cp:coreProperties>
</file>