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77" w:rsidRDefault="00C80377" w:rsidP="00C80377">
      <w:pPr>
        <w:ind w:left="117" w:right="-19" w:firstLine="200"/>
        <w:jc w:val="center"/>
        <w:rPr>
          <w:b/>
          <w:sz w:val="32"/>
        </w:rPr>
      </w:pPr>
    </w:p>
    <w:p w:rsidR="00C80377" w:rsidRDefault="00C80377" w:rsidP="00C80377">
      <w:pPr>
        <w:ind w:left="117" w:right="-19" w:firstLine="200"/>
        <w:jc w:val="center"/>
        <w:rPr>
          <w:b/>
          <w:sz w:val="32"/>
        </w:rPr>
      </w:pPr>
    </w:p>
    <w:p w:rsidR="003F4F9C" w:rsidRDefault="00B06D72" w:rsidP="00C80377">
      <w:pPr>
        <w:ind w:left="117" w:right="-19" w:firstLine="200"/>
        <w:jc w:val="center"/>
        <w:rPr>
          <w:b/>
          <w:sz w:val="32"/>
        </w:rPr>
      </w:pPr>
      <w:r>
        <w:rPr>
          <w:b/>
          <w:sz w:val="32"/>
        </w:rPr>
        <w:t>Technické podmínky pro dopravní automobil</w:t>
      </w:r>
      <w:bookmarkStart w:id="0" w:name="_GoBack"/>
      <w:bookmarkEnd w:id="0"/>
    </w:p>
    <w:p w:rsidR="00C80377" w:rsidRDefault="00C80377" w:rsidP="00C80377">
      <w:pPr>
        <w:ind w:left="117" w:right="-19" w:firstLine="200"/>
        <w:jc w:val="center"/>
        <w:rPr>
          <w:b/>
          <w:sz w:val="32"/>
        </w:rPr>
      </w:pPr>
    </w:p>
    <w:p w:rsidR="003F4F9C" w:rsidRDefault="00B06D72">
      <w:pPr>
        <w:pStyle w:val="Odstavecseseznamem"/>
        <w:numPr>
          <w:ilvl w:val="0"/>
          <w:numId w:val="3"/>
        </w:numPr>
        <w:tabs>
          <w:tab w:val="left" w:pos="544"/>
        </w:tabs>
        <w:spacing w:before="118"/>
        <w:ind w:right="110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Předmětem    technických    podmínek    je    pořízení    nového    dopravního    automobilu     v provedení „Z“ (základním), kategorie podvozku 1 „pro městský provoz“, s celkovou hmotností do 3500 kg (dále jen</w:t>
      </w:r>
      <w:r w:rsidRPr="00C80377">
        <w:rPr>
          <w:spacing w:val="-6"/>
          <w:sz w:val="20"/>
          <w:szCs w:val="20"/>
        </w:rPr>
        <w:t xml:space="preserve"> </w:t>
      </w:r>
      <w:r w:rsidRPr="00C80377">
        <w:rPr>
          <w:sz w:val="20"/>
          <w:szCs w:val="20"/>
        </w:rPr>
        <w:t>„DA“</w:t>
      </w:r>
      <w:r w:rsidRPr="00C80377">
        <w:rPr>
          <w:sz w:val="20"/>
          <w:szCs w:val="20"/>
        </w:rPr>
        <w:t>).</w:t>
      </w:r>
    </w:p>
    <w:p w:rsidR="00C80377" w:rsidRPr="00C80377" w:rsidRDefault="00C80377" w:rsidP="00C80377">
      <w:pPr>
        <w:pStyle w:val="Odstavecseseznamem"/>
        <w:tabs>
          <w:tab w:val="left" w:pos="544"/>
        </w:tabs>
        <w:spacing w:before="118"/>
        <w:ind w:left="543" w:right="110" w:firstLine="0"/>
        <w:rPr>
          <w:sz w:val="20"/>
          <w:szCs w:val="20"/>
        </w:rPr>
      </w:pPr>
    </w:p>
    <w:p w:rsidR="003F4F9C" w:rsidRPr="00C80377" w:rsidRDefault="00B06D72">
      <w:pPr>
        <w:pStyle w:val="Odstavecseseznamem"/>
        <w:numPr>
          <w:ilvl w:val="0"/>
          <w:numId w:val="3"/>
        </w:numPr>
        <w:tabs>
          <w:tab w:val="left" w:pos="543"/>
          <w:tab w:val="left" w:pos="544"/>
        </w:tabs>
        <w:spacing w:before="119"/>
        <w:rPr>
          <w:sz w:val="20"/>
          <w:szCs w:val="20"/>
        </w:rPr>
      </w:pPr>
      <w:r w:rsidRPr="00C80377">
        <w:rPr>
          <w:sz w:val="20"/>
          <w:szCs w:val="20"/>
        </w:rPr>
        <w:t>DA splňuje</w:t>
      </w:r>
      <w:r w:rsidRPr="00C80377">
        <w:rPr>
          <w:spacing w:val="-2"/>
          <w:sz w:val="20"/>
          <w:szCs w:val="20"/>
        </w:rPr>
        <w:t xml:space="preserve"> </w:t>
      </w:r>
      <w:r w:rsidRPr="00C80377">
        <w:rPr>
          <w:sz w:val="20"/>
          <w:szCs w:val="20"/>
        </w:rPr>
        <w:t>požadavky:</w:t>
      </w:r>
    </w:p>
    <w:p w:rsidR="003F4F9C" w:rsidRPr="00C80377" w:rsidRDefault="00B06D72">
      <w:pPr>
        <w:pStyle w:val="Odstavecseseznamem"/>
        <w:numPr>
          <w:ilvl w:val="1"/>
          <w:numId w:val="3"/>
        </w:numPr>
        <w:tabs>
          <w:tab w:val="left" w:pos="823"/>
        </w:tabs>
        <w:ind w:right="108" w:hanging="283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předpisů pro provoz vozidel na pozemních komunikacích v ČR, a veškeré povinné údaje    k provedení a vybavení DA včetně výjimek jsou uvedeny v osvědčení o registraci vozidla část II. (technický</w:t>
      </w:r>
      <w:r w:rsidRPr="00C80377">
        <w:rPr>
          <w:spacing w:val="-5"/>
          <w:sz w:val="20"/>
          <w:szCs w:val="20"/>
        </w:rPr>
        <w:t xml:space="preserve"> </w:t>
      </w:r>
      <w:r w:rsidRPr="00C80377">
        <w:rPr>
          <w:sz w:val="20"/>
          <w:szCs w:val="20"/>
        </w:rPr>
        <w:t>průkaz),</w:t>
      </w:r>
    </w:p>
    <w:p w:rsidR="003F4F9C" w:rsidRPr="00C80377" w:rsidRDefault="00B06D72">
      <w:pPr>
        <w:pStyle w:val="Odstavecseseznamem"/>
        <w:numPr>
          <w:ilvl w:val="1"/>
          <w:numId w:val="3"/>
        </w:numPr>
        <w:tabs>
          <w:tab w:val="left" w:pos="823"/>
        </w:tabs>
        <w:ind w:right="108" w:hanging="283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stanovené vyhláškou č. 35/20</w:t>
      </w:r>
      <w:r w:rsidRPr="00C80377">
        <w:rPr>
          <w:sz w:val="20"/>
          <w:szCs w:val="20"/>
        </w:rPr>
        <w:t>07 Sb., o technických podmínkách požární techniky, ve znění pozdějších předpisů, a doložené při dodání DA prohlášením o shodě výrobku, případně kopií certifikátu vydaného pro požadovaný typ DA autorizovanou</w:t>
      </w:r>
      <w:r w:rsidRPr="00C80377">
        <w:rPr>
          <w:spacing w:val="-11"/>
          <w:sz w:val="20"/>
          <w:szCs w:val="20"/>
        </w:rPr>
        <w:t xml:space="preserve"> </w:t>
      </w:r>
      <w:r w:rsidRPr="00C80377">
        <w:rPr>
          <w:sz w:val="20"/>
          <w:szCs w:val="20"/>
        </w:rPr>
        <w:t>osobou,</w:t>
      </w:r>
    </w:p>
    <w:p w:rsidR="003F4F9C" w:rsidRPr="00C80377" w:rsidRDefault="00B06D72">
      <w:pPr>
        <w:pStyle w:val="Odstavecseseznamem"/>
        <w:numPr>
          <w:ilvl w:val="1"/>
          <w:numId w:val="3"/>
        </w:numPr>
        <w:tabs>
          <w:tab w:val="left" w:pos="823"/>
        </w:tabs>
        <w:ind w:right="109" w:hanging="283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stanovené vyhláškou č. 247/2001 Sb., o or</w:t>
      </w:r>
      <w:r w:rsidRPr="00C80377">
        <w:rPr>
          <w:sz w:val="20"/>
          <w:szCs w:val="20"/>
        </w:rPr>
        <w:t>ganizaci a činnosti jednotek požární ochrany,    ve znění pozdějších</w:t>
      </w:r>
      <w:r w:rsidRPr="00C80377">
        <w:rPr>
          <w:spacing w:val="-4"/>
          <w:sz w:val="20"/>
          <w:szCs w:val="20"/>
        </w:rPr>
        <w:t xml:space="preserve"> </w:t>
      </w:r>
      <w:r w:rsidRPr="00C80377">
        <w:rPr>
          <w:sz w:val="20"/>
          <w:szCs w:val="20"/>
        </w:rPr>
        <w:t>předpisů,</w:t>
      </w:r>
    </w:p>
    <w:p w:rsidR="003F4F9C" w:rsidRDefault="00B06D72">
      <w:pPr>
        <w:pStyle w:val="Zkladntext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a požadavky uvedené v těchto technických podmínkách.</w:t>
      </w:r>
    </w:p>
    <w:p w:rsidR="00C80377" w:rsidRPr="00C80377" w:rsidRDefault="00C80377">
      <w:pPr>
        <w:pStyle w:val="Zkladntext"/>
        <w:jc w:val="both"/>
        <w:rPr>
          <w:sz w:val="20"/>
          <w:szCs w:val="20"/>
        </w:rPr>
      </w:pPr>
    </w:p>
    <w:p w:rsidR="003F4F9C" w:rsidRPr="00C80377" w:rsidRDefault="00B06D72">
      <w:pPr>
        <w:pStyle w:val="Odstavecseseznamem"/>
        <w:numPr>
          <w:ilvl w:val="0"/>
          <w:numId w:val="3"/>
        </w:numPr>
        <w:tabs>
          <w:tab w:val="left" w:pos="543"/>
          <w:tab w:val="left" w:pos="544"/>
        </w:tabs>
        <w:spacing w:before="119"/>
        <w:ind w:right="109"/>
        <w:rPr>
          <w:sz w:val="20"/>
          <w:szCs w:val="20"/>
        </w:rPr>
      </w:pPr>
      <w:r w:rsidRPr="00C80377">
        <w:rPr>
          <w:sz w:val="20"/>
          <w:szCs w:val="20"/>
        </w:rPr>
        <w:t>Požadavky stanovené vyhláškou č. 35/2007 Sb., o technických podmínkách požární techniky, ve znění pozdějších předpisů, DA sp</w:t>
      </w:r>
      <w:r w:rsidRPr="00C80377">
        <w:rPr>
          <w:sz w:val="20"/>
          <w:szCs w:val="20"/>
        </w:rPr>
        <w:t>lňuje s níže uvedeným upřesněním vybraných</w:t>
      </w:r>
      <w:r w:rsidRPr="00C80377">
        <w:rPr>
          <w:spacing w:val="-14"/>
          <w:sz w:val="20"/>
          <w:szCs w:val="20"/>
        </w:rPr>
        <w:t xml:space="preserve"> </w:t>
      </w:r>
      <w:r w:rsidRPr="00C80377">
        <w:rPr>
          <w:sz w:val="20"/>
          <w:szCs w:val="20"/>
        </w:rPr>
        <w:t>bodů:</w:t>
      </w:r>
    </w:p>
    <w:p w:rsidR="003F4F9C" w:rsidRPr="00C80377" w:rsidRDefault="003F4F9C">
      <w:pPr>
        <w:pStyle w:val="Odstavecseseznamem"/>
        <w:numPr>
          <w:ilvl w:val="1"/>
          <w:numId w:val="2"/>
        </w:numPr>
        <w:tabs>
          <w:tab w:val="left" w:pos="684"/>
          <w:tab w:val="left" w:pos="685"/>
        </w:tabs>
        <w:spacing w:before="119"/>
        <w:ind w:hanging="425"/>
        <w:rPr>
          <w:sz w:val="20"/>
          <w:szCs w:val="20"/>
        </w:rPr>
      </w:pPr>
    </w:p>
    <w:p w:rsidR="003F4F9C" w:rsidRPr="00C80377" w:rsidRDefault="00B06D72">
      <w:pPr>
        <w:pStyle w:val="Zkladntext"/>
        <w:ind w:right="108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DA je v prostoru místa nástupu strojníka (řidiče) do DA vybaven zásuvkou pro dobíjení          a konzervaci akumulátorových baterií 230 V, součástí zásuvky je inteligentní nabíjecí zařízení. Součástí dodávky je příslušný protikus. DA je vybaveno inteligent</w:t>
      </w:r>
      <w:r w:rsidRPr="00C80377">
        <w:rPr>
          <w:sz w:val="20"/>
          <w:szCs w:val="20"/>
        </w:rPr>
        <w:t>ním nabíjecím zařízením akumulátorových baterií, které je kapacitně způsobilé pro nabíjení instalovaných akumulátorových baterií, a je zapojen tak, aby mohl trvale nabíjet akumulátorové baterie bez nebezpečí poškození jakékoliv výbavy DA. Inteligentní nabí</w:t>
      </w:r>
      <w:r w:rsidRPr="00C80377">
        <w:rPr>
          <w:sz w:val="20"/>
          <w:szCs w:val="20"/>
        </w:rPr>
        <w:t>jecí zařízení je vybaveno elektronickým řízením procesu nabíjení umožňující režim konzervace tak, aby mohl být trvale připojen k akumulátorům bez nežádoucího přebíjení akumulátorové baterie. Umístění nabíječe, typ konektoru pro napájení nabíječe a jeho umí</w:t>
      </w:r>
      <w:r w:rsidRPr="00C80377">
        <w:rPr>
          <w:sz w:val="20"/>
          <w:szCs w:val="20"/>
        </w:rPr>
        <w:t>stění bude konzultován s uživatelem. Konektor odpovídá konstrukci pro proud dle příkonu inteligentního nabíjecího zařízení a má krytí dle umístění v</w:t>
      </w:r>
      <w:r w:rsidRPr="00C80377">
        <w:rPr>
          <w:spacing w:val="-7"/>
          <w:sz w:val="20"/>
          <w:szCs w:val="20"/>
        </w:rPr>
        <w:t xml:space="preserve"> </w:t>
      </w:r>
      <w:r w:rsidRPr="00C80377">
        <w:rPr>
          <w:sz w:val="20"/>
          <w:szCs w:val="20"/>
        </w:rPr>
        <w:t>DA.</w:t>
      </w:r>
    </w:p>
    <w:p w:rsidR="003F4F9C" w:rsidRPr="00C80377" w:rsidRDefault="003F4F9C">
      <w:pPr>
        <w:pStyle w:val="Odstavecseseznamem"/>
        <w:numPr>
          <w:ilvl w:val="1"/>
          <w:numId w:val="2"/>
        </w:numPr>
        <w:tabs>
          <w:tab w:val="left" w:pos="684"/>
          <w:tab w:val="left" w:pos="685"/>
        </w:tabs>
        <w:spacing w:before="120"/>
        <w:ind w:left="684" w:hanging="567"/>
        <w:rPr>
          <w:sz w:val="20"/>
          <w:szCs w:val="20"/>
        </w:rPr>
      </w:pPr>
    </w:p>
    <w:p w:rsidR="003F4F9C" w:rsidRPr="00C80377" w:rsidRDefault="00B06D72">
      <w:pPr>
        <w:pStyle w:val="Zkladntext"/>
        <w:spacing w:before="2" w:line="276" w:lineRule="exact"/>
        <w:ind w:right="109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S ohledem na provoz DA v kopcovité krajině je pro DA použit automobilový podvozek        se jmenovitým měrným výkonem nejméně 25 kW.1000kg</w:t>
      </w:r>
      <w:r w:rsidRPr="00C80377">
        <w:rPr>
          <w:position w:val="11"/>
          <w:sz w:val="20"/>
          <w:szCs w:val="20"/>
        </w:rPr>
        <w:t xml:space="preserve">-1 </w:t>
      </w:r>
      <w:r w:rsidRPr="00C80377">
        <w:rPr>
          <w:sz w:val="20"/>
          <w:szCs w:val="20"/>
        </w:rPr>
        <w:t>největší technicky přípustné hmotnosti</w:t>
      </w:r>
      <w:r w:rsidRPr="00C80377">
        <w:rPr>
          <w:spacing w:val="-4"/>
          <w:sz w:val="20"/>
          <w:szCs w:val="20"/>
        </w:rPr>
        <w:t xml:space="preserve"> </w:t>
      </w:r>
      <w:r w:rsidRPr="00C80377">
        <w:rPr>
          <w:sz w:val="20"/>
          <w:szCs w:val="20"/>
        </w:rPr>
        <w:t>DA.</w:t>
      </w:r>
    </w:p>
    <w:p w:rsidR="003F4F9C" w:rsidRPr="00C80377" w:rsidRDefault="003F4F9C">
      <w:pPr>
        <w:pStyle w:val="Odstavecseseznamem"/>
        <w:numPr>
          <w:ilvl w:val="1"/>
          <w:numId w:val="2"/>
        </w:numPr>
        <w:tabs>
          <w:tab w:val="left" w:pos="684"/>
          <w:tab w:val="left" w:pos="685"/>
        </w:tabs>
        <w:spacing w:before="116"/>
        <w:ind w:left="684" w:hanging="567"/>
        <w:rPr>
          <w:sz w:val="20"/>
          <w:szCs w:val="20"/>
        </w:rPr>
      </w:pPr>
    </w:p>
    <w:p w:rsidR="003F4F9C" w:rsidRPr="00C80377" w:rsidRDefault="00B06D72">
      <w:pPr>
        <w:pStyle w:val="Zkladntext"/>
        <w:ind w:right="110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Kabina osádky DA je vybavena digitálním terminále</w:t>
      </w:r>
      <w:r w:rsidRPr="00C80377">
        <w:rPr>
          <w:sz w:val="20"/>
          <w:szCs w:val="20"/>
        </w:rPr>
        <w:t>m typu TPM 700, výrobce Airbus Defense and Space, včetně montážní sady s příslušnou střešní anténou, které pro montáž dodá zadavatel.</w:t>
      </w:r>
    </w:p>
    <w:p w:rsidR="003F4F9C" w:rsidRPr="00C80377" w:rsidRDefault="00B06D72">
      <w:pPr>
        <w:pStyle w:val="Zkladntext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Digitální  terminál  splňuje  parametry  dle  §1,  odst.  2,  písm.  a)  vyhlášky    č. 69/2014 Sb.,</w:t>
      </w:r>
    </w:p>
    <w:p w:rsidR="003F4F9C" w:rsidRPr="00C80377" w:rsidRDefault="00B06D72">
      <w:pPr>
        <w:pStyle w:val="Zkladntext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o technických podmínk</w:t>
      </w:r>
      <w:r w:rsidRPr="00C80377">
        <w:rPr>
          <w:sz w:val="20"/>
          <w:szCs w:val="20"/>
        </w:rPr>
        <w:t>ách věcných prostředků požární ochrany.</w:t>
      </w:r>
    </w:p>
    <w:p w:rsidR="003F4F9C" w:rsidRPr="00C80377" w:rsidRDefault="003F4F9C">
      <w:pPr>
        <w:pStyle w:val="Odstavecseseznamem"/>
        <w:numPr>
          <w:ilvl w:val="1"/>
          <w:numId w:val="2"/>
        </w:numPr>
        <w:tabs>
          <w:tab w:val="left" w:pos="684"/>
          <w:tab w:val="left" w:pos="685"/>
        </w:tabs>
        <w:spacing w:before="120"/>
        <w:ind w:left="684" w:hanging="567"/>
        <w:rPr>
          <w:sz w:val="20"/>
          <w:szCs w:val="20"/>
        </w:rPr>
      </w:pPr>
    </w:p>
    <w:p w:rsidR="003F4F9C" w:rsidRPr="00C80377" w:rsidRDefault="00B06D72">
      <w:pPr>
        <w:pStyle w:val="Zkladntext"/>
        <w:ind w:right="109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DA je vybaven dvěma požárními světlomety 12 V se světelným tokem každého světlometu nejméně 1300 lm. Požární světlomety mají magnetické uchycení a jsou vybaveny kabelem</w:t>
      </w:r>
    </w:p>
    <w:p w:rsidR="003F4F9C" w:rsidRPr="00C80377" w:rsidRDefault="00B06D72">
      <w:pPr>
        <w:pStyle w:val="Zkladntext"/>
        <w:spacing w:before="70"/>
        <w:jc w:val="both"/>
        <w:rPr>
          <w:sz w:val="20"/>
          <w:szCs w:val="20"/>
        </w:rPr>
      </w:pPr>
      <w:r w:rsidRPr="00C80377">
        <w:rPr>
          <w:sz w:val="20"/>
          <w:szCs w:val="20"/>
        </w:rPr>
        <w:t xml:space="preserve">o délce </w:t>
      </w:r>
      <w:r w:rsidRPr="00C80377">
        <w:rPr>
          <w:sz w:val="20"/>
          <w:szCs w:val="20"/>
        </w:rPr>
        <w:t>nejméně 3 m pro napojení na elektroinstalaci DA. Světlomety, kabely a vně  karoserie</w:t>
      </w:r>
    </w:p>
    <w:p w:rsidR="003F4F9C" w:rsidRPr="00C80377" w:rsidRDefault="00B06D72">
      <w:pPr>
        <w:pStyle w:val="Zkladntext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umístěné zásuvky mají krytí nejméně IP 54.</w:t>
      </w:r>
    </w:p>
    <w:p w:rsidR="003F4F9C" w:rsidRPr="00C80377" w:rsidRDefault="003F4F9C">
      <w:pPr>
        <w:pStyle w:val="Odstavecseseznamem"/>
        <w:numPr>
          <w:ilvl w:val="1"/>
          <w:numId w:val="2"/>
        </w:numPr>
        <w:tabs>
          <w:tab w:val="left" w:pos="684"/>
          <w:tab w:val="left" w:pos="685"/>
        </w:tabs>
        <w:spacing w:before="120"/>
        <w:ind w:left="684" w:hanging="567"/>
        <w:rPr>
          <w:sz w:val="20"/>
          <w:szCs w:val="20"/>
        </w:rPr>
      </w:pPr>
    </w:p>
    <w:p w:rsidR="003F4F9C" w:rsidRPr="00C80377" w:rsidRDefault="00B06D72">
      <w:pPr>
        <w:pStyle w:val="Zkladntext"/>
        <w:ind w:right="110"/>
        <w:jc w:val="both"/>
        <w:rPr>
          <w:sz w:val="20"/>
          <w:szCs w:val="20"/>
        </w:rPr>
      </w:pPr>
      <w:r w:rsidRPr="00C80377">
        <w:rPr>
          <w:sz w:val="20"/>
          <w:szCs w:val="20"/>
        </w:rPr>
        <w:t xml:space="preserve">Osvětlení prostoru okolo DA je zajištěno LED zdroji neoslňujícího bílého světla umístěnými vně na bocích </w:t>
      </w:r>
      <w:r w:rsidRPr="00C80377">
        <w:rPr>
          <w:sz w:val="20"/>
          <w:szCs w:val="20"/>
        </w:rPr>
        <w:t>a zadní stěně účelové nástavby.</w:t>
      </w:r>
    </w:p>
    <w:p w:rsidR="003F4F9C" w:rsidRPr="00C80377" w:rsidRDefault="003F4F9C">
      <w:pPr>
        <w:pStyle w:val="Odstavecseseznamem"/>
        <w:numPr>
          <w:ilvl w:val="1"/>
          <w:numId w:val="2"/>
        </w:numPr>
        <w:tabs>
          <w:tab w:val="left" w:pos="684"/>
          <w:tab w:val="left" w:pos="685"/>
        </w:tabs>
        <w:spacing w:before="120"/>
        <w:ind w:left="684" w:hanging="567"/>
        <w:rPr>
          <w:sz w:val="20"/>
          <w:szCs w:val="20"/>
        </w:rPr>
      </w:pPr>
    </w:p>
    <w:p w:rsidR="003F4F9C" w:rsidRPr="00C80377" w:rsidRDefault="00B06D72">
      <w:pPr>
        <w:pStyle w:val="Zkladntext"/>
        <w:ind w:right="108"/>
        <w:jc w:val="both"/>
        <w:rPr>
          <w:sz w:val="20"/>
          <w:szCs w:val="20"/>
        </w:rPr>
      </w:pPr>
      <w:r w:rsidRPr="00C80377">
        <w:rPr>
          <w:sz w:val="20"/>
          <w:szCs w:val="20"/>
        </w:rPr>
        <w:t xml:space="preserve">Kabinou  osádky  se  rozumí  prostor  první  řady  sedadel,  kterou  tvoří  nejméně  sedadlo  pro velitele a pro strojníka, druhé řady sedadel pro tři hasiče a třetí řady sedadel pro tři hasiče, </w:t>
      </w:r>
      <w:r w:rsidRPr="00C80377">
        <w:rPr>
          <w:sz w:val="20"/>
          <w:szCs w:val="20"/>
        </w:rPr>
        <w:t>nebo tři evakuované osoby při plnění úkolů na úseku ochrany</w:t>
      </w:r>
      <w:r w:rsidRPr="00C80377">
        <w:rPr>
          <w:spacing w:val="-13"/>
          <w:sz w:val="20"/>
          <w:szCs w:val="20"/>
        </w:rPr>
        <w:t xml:space="preserve"> </w:t>
      </w:r>
      <w:r w:rsidRPr="00C80377">
        <w:rPr>
          <w:sz w:val="20"/>
          <w:szCs w:val="20"/>
        </w:rPr>
        <w:t>obyvatelstva.</w:t>
      </w:r>
    </w:p>
    <w:p w:rsidR="006F4398" w:rsidRPr="00C80377" w:rsidRDefault="006F4398">
      <w:pPr>
        <w:pStyle w:val="Odstavecseseznamem"/>
        <w:numPr>
          <w:ilvl w:val="1"/>
          <w:numId w:val="2"/>
        </w:numPr>
        <w:tabs>
          <w:tab w:val="left" w:pos="684"/>
          <w:tab w:val="left" w:pos="685"/>
        </w:tabs>
        <w:spacing w:before="120"/>
        <w:ind w:right="6469" w:hanging="425"/>
        <w:rPr>
          <w:sz w:val="20"/>
          <w:szCs w:val="20"/>
        </w:rPr>
      </w:pPr>
    </w:p>
    <w:p w:rsidR="003F4F9C" w:rsidRPr="00C80377" w:rsidRDefault="00B06D72" w:rsidP="006F4398">
      <w:pPr>
        <w:pStyle w:val="Odstavecseseznamem"/>
        <w:tabs>
          <w:tab w:val="left" w:pos="684"/>
          <w:tab w:val="left" w:pos="685"/>
        </w:tabs>
        <w:spacing w:before="120"/>
        <w:ind w:left="542" w:right="6469" w:firstLine="0"/>
        <w:rPr>
          <w:sz w:val="20"/>
          <w:szCs w:val="20"/>
        </w:rPr>
      </w:pPr>
      <w:r w:rsidRPr="00C80377">
        <w:rPr>
          <w:sz w:val="20"/>
          <w:szCs w:val="20"/>
        </w:rPr>
        <w:t xml:space="preserve"> Kabina osádky je</w:t>
      </w:r>
      <w:r w:rsidRPr="00C80377">
        <w:rPr>
          <w:spacing w:val="-4"/>
          <w:sz w:val="20"/>
          <w:szCs w:val="20"/>
        </w:rPr>
        <w:t xml:space="preserve"> </w:t>
      </w:r>
      <w:r w:rsidRPr="00C80377">
        <w:rPr>
          <w:sz w:val="20"/>
          <w:szCs w:val="20"/>
        </w:rPr>
        <w:t>vybavena:</w:t>
      </w:r>
    </w:p>
    <w:p w:rsidR="003F4F9C" w:rsidRPr="00C80377" w:rsidRDefault="00B06D72">
      <w:pPr>
        <w:pStyle w:val="Odstavecseseznamem"/>
        <w:numPr>
          <w:ilvl w:val="2"/>
          <w:numId w:val="2"/>
        </w:numPr>
        <w:tabs>
          <w:tab w:val="left" w:pos="827"/>
        </w:tabs>
        <w:ind w:right="108" w:hanging="283"/>
        <w:rPr>
          <w:sz w:val="20"/>
          <w:szCs w:val="20"/>
        </w:rPr>
      </w:pPr>
      <w:r w:rsidRPr="00C80377">
        <w:rPr>
          <w:sz w:val="20"/>
          <w:szCs w:val="20"/>
        </w:rPr>
        <w:lastRenderedPageBreak/>
        <w:t>klimatizační jednotkou a druhým výměníkem topení umístěným v prostoru druhé a třetí řady</w:t>
      </w:r>
      <w:r w:rsidRPr="00C80377">
        <w:rPr>
          <w:spacing w:val="-4"/>
          <w:sz w:val="20"/>
          <w:szCs w:val="20"/>
        </w:rPr>
        <w:t xml:space="preserve"> </w:t>
      </w:r>
      <w:r w:rsidRPr="00C80377">
        <w:rPr>
          <w:sz w:val="20"/>
          <w:szCs w:val="20"/>
        </w:rPr>
        <w:t>sedadel,</w:t>
      </w:r>
    </w:p>
    <w:p w:rsidR="003F4F9C" w:rsidRDefault="00B06D72">
      <w:pPr>
        <w:pStyle w:val="Odstavecseseznamem"/>
        <w:numPr>
          <w:ilvl w:val="2"/>
          <w:numId w:val="2"/>
        </w:numPr>
        <w:tabs>
          <w:tab w:val="left" w:pos="827"/>
        </w:tabs>
        <w:ind w:hanging="283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naftovým topením nezávislým na chodu motoru a jízdě o tepelném výkonu nejméně 4</w:t>
      </w:r>
      <w:r w:rsidRPr="00C80377">
        <w:rPr>
          <w:spacing w:val="-16"/>
          <w:sz w:val="20"/>
          <w:szCs w:val="20"/>
        </w:rPr>
        <w:t xml:space="preserve"> </w:t>
      </w:r>
      <w:r w:rsidRPr="00C80377">
        <w:rPr>
          <w:sz w:val="20"/>
          <w:szCs w:val="20"/>
        </w:rPr>
        <w:t>kW.</w:t>
      </w:r>
    </w:p>
    <w:p w:rsidR="00C80377" w:rsidRPr="00C80377" w:rsidRDefault="00C80377" w:rsidP="00C80377">
      <w:pPr>
        <w:pStyle w:val="Odstavecseseznamem"/>
        <w:tabs>
          <w:tab w:val="left" w:pos="827"/>
        </w:tabs>
        <w:ind w:firstLine="0"/>
        <w:rPr>
          <w:sz w:val="20"/>
          <w:szCs w:val="20"/>
        </w:rPr>
      </w:pPr>
    </w:p>
    <w:p w:rsidR="003F4F9C" w:rsidRPr="00C80377" w:rsidRDefault="003F4F9C">
      <w:pPr>
        <w:pStyle w:val="Odstavecseseznamem"/>
        <w:numPr>
          <w:ilvl w:val="1"/>
          <w:numId w:val="2"/>
        </w:numPr>
        <w:tabs>
          <w:tab w:val="left" w:pos="684"/>
          <w:tab w:val="left" w:pos="685"/>
        </w:tabs>
        <w:spacing w:before="119"/>
        <w:ind w:left="684" w:hanging="567"/>
        <w:rPr>
          <w:sz w:val="20"/>
          <w:szCs w:val="20"/>
        </w:rPr>
      </w:pPr>
    </w:p>
    <w:p w:rsidR="003F4F9C" w:rsidRPr="00C80377" w:rsidRDefault="00B06D72">
      <w:pPr>
        <w:pStyle w:val="Zkladntext"/>
        <w:ind w:right="110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Kabina osádky je jednoprostorová nedělená s nejméně třemi dveřmi, z nichž alespoň jedny jsou posuvné.</w:t>
      </w:r>
    </w:p>
    <w:p w:rsidR="003F4F9C" w:rsidRPr="00C80377" w:rsidRDefault="003F4F9C">
      <w:pPr>
        <w:pStyle w:val="Odstavecseseznamem"/>
        <w:numPr>
          <w:ilvl w:val="1"/>
          <w:numId w:val="2"/>
        </w:numPr>
        <w:tabs>
          <w:tab w:val="left" w:pos="684"/>
          <w:tab w:val="left" w:pos="685"/>
        </w:tabs>
        <w:spacing w:before="120"/>
        <w:ind w:left="684" w:hanging="567"/>
        <w:rPr>
          <w:sz w:val="20"/>
          <w:szCs w:val="20"/>
        </w:rPr>
      </w:pPr>
    </w:p>
    <w:p w:rsidR="003F4F9C" w:rsidRPr="00C80377" w:rsidRDefault="00B06D72">
      <w:pPr>
        <w:pStyle w:val="Zkladntext"/>
        <w:ind w:right="109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Kabina osádky  je  vybav</w:t>
      </w:r>
      <w:r w:rsidRPr="00C80377">
        <w:rPr>
          <w:sz w:val="20"/>
          <w:szCs w:val="20"/>
        </w:rPr>
        <w:t>ena  dvěma  dobíjecími  úchyty  pro  ruční  svítilny  kompatibilními s typem SURVIVOR LED ATEX, výrobce Streamlight, úchyty pro montáž dodá výrobce DA (dodavatel).</w:t>
      </w:r>
    </w:p>
    <w:p w:rsidR="003F4F9C" w:rsidRPr="00C80377" w:rsidRDefault="003F4F9C">
      <w:pPr>
        <w:pStyle w:val="Odstavecseseznamem"/>
        <w:numPr>
          <w:ilvl w:val="1"/>
          <w:numId w:val="2"/>
        </w:numPr>
        <w:tabs>
          <w:tab w:val="left" w:pos="685"/>
        </w:tabs>
        <w:spacing w:before="120"/>
        <w:ind w:left="684" w:hanging="567"/>
        <w:rPr>
          <w:sz w:val="20"/>
          <w:szCs w:val="20"/>
        </w:rPr>
      </w:pPr>
    </w:p>
    <w:p w:rsidR="003F4F9C" w:rsidRPr="00C80377" w:rsidRDefault="00B06D72">
      <w:pPr>
        <w:pStyle w:val="Zkladntext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DA je v kabině osádky vybaven:</w:t>
      </w:r>
    </w:p>
    <w:p w:rsidR="003F4F9C" w:rsidRPr="00C80377" w:rsidRDefault="00B06D72">
      <w:pPr>
        <w:pStyle w:val="Odstavecseseznamem"/>
        <w:numPr>
          <w:ilvl w:val="2"/>
          <w:numId w:val="2"/>
        </w:numPr>
        <w:tabs>
          <w:tab w:val="left" w:pos="827"/>
        </w:tabs>
        <w:ind w:hanging="283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autorádiem,</w:t>
      </w:r>
    </w:p>
    <w:p w:rsidR="003F4F9C" w:rsidRPr="00C80377" w:rsidRDefault="00B06D72">
      <w:pPr>
        <w:pStyle w:val="Odstavecseseznamem"/>
        <w:numPr>
          <w:ilvl w:val="2"/>
          <w:numId w:val="2"/>
        </w:numPr>
        <w:tabs>
          <w:tab w:val="left" w:pos="827"/>
        </w:tabs>
        <w:ind w:right="109" w:hanging="283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v dosahu sedadla velitele dvěma samostatnými automobilovými zásuvkami s napětím 12 V a elektrickým proudem každé nejméně 8 A trvale napojenými na zdroj, dále dvěma zásuvkami USB s elektrickým proudem každé nejméně 2 A trvale napojenými na zdroj   pro přípa</w:t>
      </w:r>
      <w:r w:rsidRPr="00C80377">
        <w:rPr>
          <w:sz w:val="20"/>
          <w:szCs w:val="20"/>
        </w:rPr>
        <w:t>dné napojení nabíjecích prvků mobilních</w:t>
      </w:r>
      <w:r w:rsidRPr="00C80377">
        <w:rPr>
          <w:spacing w:val="-12"/>
          <w:sz w:val="20"/>
          <w:szCs w:val="20"/>
        </w:rPr>
        <w:t xml:space="preserve"> </w:t>
      </w:r>
      <w:r w:rsidRPr="00C80377">
        <w:rPr>
          <w:sz w:val="20"/>
          <w:szCs w:val="20"/>
        </w:rPr>
        <w:t>telefonů,</w:t>
      </w:r>
    </w:p>
    <w:p w:rsidR="003F4F9C" w:rsidRPr="00C80377" w:rsidRDefault="00B06D72">
      <w:pPr>
        <w:pStyle w:val="Odstavecseseznamem"/>
        <w:numPr>
          <w:ilvl w:val="2"/>
          <w:numId w:val="2"/>
        </w:numPr>
        <w:tabs>
          <w:tab w:val="left" w:pos="827"/>
        </w:tabs>
        <w:ind w:hanging="283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podlahou z neklouzavého</w:t>
      </w:r>
      <w:r w:rsidRPr="00C80377">
        <w:rPr>
          <w:spacing w:val="-5"/>
          <w:sz w:val="20"/>
          <w:szCs w:val="20"/>
        </w:rPr>
        <w:t xml:space="preserve"> </w:t>
      </w:r>
      <w:r w:rsidRPr="00C80377">
        <w:rPr>
          <w:sz w:val="20"/>
          <w:szCs w:val="20"/>
        </w:rPr>
        <w:t>materiálu,</w:t>
      </w:r>
    </w:p>
    <w:p w:rsidR="003F4F9C" w:rsidRPr="00C80377" w:rsidRDefault="00B06D72">
      <w:pPr>
        <w:pStyle w:val="Odstavecseseznamem"/>
        <w:numPr>
          <w:ilvl w:val="2"/>
          <w:numId w:val="2"/>
        </w:numPr>
        <w:tabs>
          <w:tab w:val="left" w:pos="827"/>
        </w:tabs>
        <w:ind w:hanging="283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háčky pro zavěšení výstrojních</w:t>
      </w:r>
      <w:r w:rsidRPr="00C80377">
        <w:rPr>
          <w:spacing w:val="-6"/>
          <w:sz w:val="20"/>
          <w:szCs w:val="20"/>
        </w:rPr>
        <w:t xml:space="preserve"> </w:t>
      </w:r>
      <w:r w:rsidRPr="00C80377">
        <w:rPr>
          <w:sz w:val="20"/>
          <w:szCs w:val="20"/>
        </w:rPr>
        <w:t>součástek.</w:t>
      </w:r>
    </w:p>
    <w:p w:rsidR="003F4F9C" w:rsidRPr="00C80377" w:rsidRDefault="003F4F9C">
      <w:pPr>
        <w:pStyle w:val="Odstavecseseznamem"/>
        <w:numPr>
          <w:ilvl w:val="1"/>
          <w:numId w:val="2"/>
        </w:numPr>
        <w:tabs>
          <w:tab w:val="left" w:pos="685"/>
        </w:tabs>
        <w:spacing w:before="120"/>
        <w:ind w:left="684" w:hanging="567"/>
        <w:rPr>
          <w:sz w:val="20"/>
          <w:szCs w:val="20"/>
        </w:rPr>
      </w:pPr>
    </w:p>
    <w:p w:rsidR="003F4F9C" w:rsidRPr="00C80377" w:rsidRDefault="00B06D72">
      <w:pPr>
        <w:pStyle w:val="Zkladntext"/>
        <w:ind w:left="542" w:right="108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Zvláštní výstražné zařízení (dále jen „ZVZ“) umožňuje reprodukci mluveného slova. Jeho světelná část je tvořena 2 samostatnými bloky – hlavní částí (dále jen „světelné zařízení“)       a doplňkovými</w:t>
      </w:r>
      <w:r w:rsidRPr="00C80377">
        <w:rPr>
          <w:spacing w:val="-5"/>
          <w:sz w:val="20"/>
          <w:szCs w:val="20"/>
        </w:rPr>
        <w:t xml:space="preserve"> </w:t>
      </w:r>
      <w:r w:rsidRPr="00C80377">
        <w:rPr>
          <w:sz w:val="20"/>
          <w:szCs w:val="20"/>
        </w:rPr>
        <w:t>svítilnami.</w:t>
      </w:r>
    </w:p>
    <w:p w:rsidR="003F4F9C" w:rsidRPr="00C80377" w:rsidRDefault="00B06D72">
      <w:pPr>
        <w:pStyle w:val="Zkladntext"/>
        <w:spacing w:before="3" w:line="276" w:lineRule="exact"/>
        <w:ind w:left="541" w:right="108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Světelné zařízení je tvořeno rampou o délce r</w:t>
      </w:r>
      <w:r w:rsidRPr="00C80377">
        <w:rPr>
          <w:sz w:val="20"/>
          <w:szCs w:val="20"/>
        </w:rPr>
        <w:t>ovnající se nejméně 3/5 šířky střechy DA.  Rampa je vybavena rohovými moduly zajišťujícími vykrytí potřebného vyzařovacího úhlu 360</w:t>
      </w:r>
      <w:r w:rsidRPr="00C80377">
        <w:rPr>
          <w:position w:val="11"/>
          <w:sz w:val="20"/>
          <w:szCs w:val="20"/>
        </w:rPr>
        <w:t xml:space="preserve">o </w:t>
      </w:r>
      <w:r w:rsidRPr="00C80377">
        <w:rPr>
          <w:sz w:val="20"/>
          <w:szCs w:val="20"/>
        </w:rPr>
        <w:t xml:space="preserve">a nejméně 2 přímými moduly - každý s nejméně 3 diodami pro zvýšení intenzity vyzařovaného světla ve směru jízdy. Není-li z </w:t>
      </w:r>
      <w:r w:rsidRPr="00C80377">
        <w:rPr>
          <w:sz w:val="20"/>
          <w:szCs w:val="20"/>
        </w:rPr>
        <w:t xml:space="preserve">důvodu konstrukčního provedení DA nebo umístění vybavení zabezpečena viditelnost vyzařovacích úhlů rampy ze 360 </w:t>
      </w:r>
      <w:r w:rsidRPr="00C80377">
        <w:rPr>
          <w:position w:val="11"/>
          <w:sz w:val="20"/>
          <w:szCs w:val="20"/>
        </w:rPr>
        <w:t xml:space="preserve">o </w:t>
      </w:r>
      <w:r w:rsidRPr="00C80377">
        <w:rPr>
          <w:sz w:val="20"/>
          <w:szCs w:val="20"/>
        </w:rPr>
        <w:t xml:space="preserve">ve vzdálenosti 20 m od ní (ve výšce 1 m nad zemí), musí být světelné zařízení DA tvořeno i dalšími výstražnými svítilnami pro dokrytí, rampou </w:t>
      </w:r>
      <w:r w:rsidRPr="00C80377">
        <w:rPr>
          <w:sz w:val="20"/>
          <w:szCs w:val="20"/>
        </w:rPr>
        <w:t>nevykrytých, úhlů. Světelné zařízení DA vyzařuje v jeden okamžik pouze světlo jedné barvy, a to střídavě modré barvy na pravé straně a  červené barvy na levé straně od podélné osy DA ve směru</w:t>
      </w:r>
      <w:r w:rsidRPr="00C80377">
        <w:rPr>
          <w:spacing w:val="-11"/>
          <w:sz w:val="20"/>
          <w:szCs w:val="20"/>
        </w:rPr>
        <w:t xml:space="preserve"> </w:t>
      </w:r>
      <w:r w:rsidRPr="00C80377">
        <w:rPr>
          <w:sz w:val="20"/>
          <w:szCs w:val="20"/>
        </w:rPr>
        <w:t>jízdy.</w:t>
      </w:r>
    </w:p>
    <w:p w:rsidR="003F4F9C" w:rsidRPr="00C80377" w:rsidRDefault="00B06D72">
      <w:pPr>
        <w:pStyle w:val="Zkladntext"/>
        <w:ind w:left="541" w:right="109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DA je na přední straně kabiny osádky pod předním oknem vy</w:t>
      </w:r>
      <w:r w:rsidRPr="00C80377">
        <w:rPr>
          <w:sz w:val="20"/>
          <w:szCs w:val="20"/>
        </w:rPr>
        <w:t xml:space="preserve">baven 1 párem doplňkových svítilen (každá svítilna s nejméně 6 diodami). Doplňkové svítilny vyzařují v jeden okamžik pouze světlo jedné barvy, a to střídavě modré barvy na levé straně a červené barvy na pravé straně od podélné  osy  DA  ve  směru  jízdy.  </w:t>
      </w:r>
      <w:r w:rsidRPr="00C80377">
        <w:rPr>
          <w:sz w:val="20"/>
          <w:szCs w:val="20"/>
        </w:rPr>
        <w:t>Doplňkové  svítilny  nejsou  synchronizovány  se světelným</w:t>
      </w:r>
      <w:r w:rsidRPr="00C80377">
        <w:rPr>
          <w:spacing w:val="-7"/>
          <w:sz w:val="20"/>
          <w:szCs w:val="20"/>
        </w:rPr>
        <w:t xml:space="preserve"> </w:t>
      </w:r>
      <w:r w:rsidRPr="00C80377">
        <w:rPr>
          <w:sz w:val="20"/>
          <w:szCs w:val="20"/>
        </w:rPr>
        <w:t>zařízením.</w:t>
      </w:r>
    </w:p>
    <w:p w:rsidR="003F4F9C" w:rsidRPr="00C80377" w:rsidRDefault="00B06D72">
      <w:pPr>
        <w:pStyle w:val="Zkladntext"/>
        <w:spacing w:before="70"/>
        <w:ind w:left="541" w:right="109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Doplňkové svítilny na přední straně kabiny osádky a přímé moduly v rampě pro zvýšení intenzity vyzařovaného světla ve směru jízdy lze v případě potřeby současně vypnout</w:t>
      </w:r>
      <w:r w:rsidRPr="00C80377">
        <w:rPr>
          <w:sz w:val="20"/>
          <w:szCs w:val="20"/>
        </w:rPr>
        <w:t xml:space="preserve"> samostatným vypínačem na ovládacím panelu ZVZ.</w:t>
      </w:r>
    </w:p>
    <w:p w:rsidR="003F4F9C" w:rsidRPr="00C80377" w:rsidRDefault="00B06D72">
      <w:pPr>
        <w:pStyle w:val="Zkladntext"/>
        <w:ind w:right="108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Všechny světelné části ZVZ jsou opatřeny LED zdroji světla, mají čiré kryty a jsou provedeny pro dvě úrovně svítivosti – DEN/NOC homologace podle EHK 65, třída 2. Musí být zapojeny tak, aby na změnu intenzity</w:t>
      </w:r>
      <w:r w:rsidRPr="00C80377">
        <w:rPr>
          <w:sz w:val="20"/>
          <w:szCs w:val="20"/>
        </w:rPr>
        <w:t xml:space="preserve"> okolního osvětlení reagovaly vždy jako celek, a to automaticky, nebo prostřednictvím ovladače umístěného v dosahu řidiče. Ovládací prvky ZVZ jsou umístěny v dosahu řidiče. Reproduktor ZVZ je umístěn tak, aby jeho vyzařování ve směru jízdy nebylo zásadním </w:t>
      </w:r>
      <w:r w:rsidRPr="00C80377">
        <w:rPr>
          <w:sz w:val="20"/>
          <w:szCs w:val="20"/>
        </w:rPr>
        <w:t>způsobem omezeno konstrukčními prvky, karosérií a výbavou DA. Samostatný reproduktor může být nahrazen dvojicí paralelně zapojených a sfázovaných reproduktorů (o nejméně  stejných  elektrických  a  akustických  parametrech  soustavy  jako  u samostatného</w:t>
      </w:r>
      <w:r w:rsidRPr="00C80377">
        <w:rPr>
          <w:spacing w:val="-4"/>
          <w:sz w:val="20"/>
          <w:szCs w:val="20"/>
        </w:rPr>
        <w:t xml:space="preserve"> </w:t>
      </w:r>
      <w:r w:rsidRPr="00C80377">
        <w:rPr>
          <w:sz w:val="20"/>
          <w:szCs w:val="20"/>
        </w:rPr>
        <w:t>r</w:t>
      </w:r>
      <w:r w:rsidRPr="00C80377">
        <w:rPr>
          <w:sz w:val="20"/>
          <w:szCs w:val="20"/>
        </w:rPr>
        <w:t>eproduktoru).</w:t>
      </w:r>
    </w:p>
    <w:p w:rsidR="003F4F9C" w:rsidRPr="00C80377" w:rsidRDefault="003F4F9C">
      <w:pPr>
        <w:pStyle w:val="Odstavecseseznamem"/>
        <w:numPr>
          <w:ilvl w:val="1"/>
          <w:numId w:val="2"/>
        </w:numPr>
        <w:tabs>
          <w:tab w:val="left" w:pos="685"/>
        </w:tabs>
        <w:spacing w:before="120"/>
        <w:ind w:left="684" w:hanging="567"/>
        <w:rPr>
          <w:sz w:val="20"/>
          <w:szCs w:val="20"/>
        </w:rPr>
      </w:pPr>
    </w:p>
    <w:p w:rsidR="003F4F9C" w:rsidRPr="00C80377" w:rsidRDefault="00B06D72">
      <w:pPr>
        <w:pStyle w:val="Zkladntext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Úchytné  a  úložné  prvky  v prostorech  pro  uložení  požárního  příslušenství  jsou provedeny</w:t>
      </w:r>
    </w:p>
    <w:p w:rsidR="003F4F9C" w:rsidRPr="00C80377" w:rsidRDefault="00B06D72">
      <w:pPr>
        <w:pStyle w:val="Zkladntext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z lehkého kovu nebo jiného materiálu, s vysokou životností.</w:t>
      </w:r>
    </w:p>
    <w:p w:rsidR="003F4F9C" w:rsidRPr="00C80377" w:rsidRDefault="003F4F9C">
      <w:pPr>
        <w:pStyle w:val="Odstavecseseznamem"/>
        <w:numPr>
          <w:ilvl w:val="1"/>
          <w:numId w:val="2"/>
        </w:numPr>
        <w:tabs>
          <w:tab w:val="left" w:pos="685"/>
        </w:tabs>
        <w:spacing w:before="119"/>
        <w:ind w:left="684" w:hanging="567"/>
        <w:rPr>
          <w:sz w:val="20"/>
          <w:szCs w:val="20"/>
        </w:rPr>
      </w:pPr>
    </w:p>
    <w:p w:rsidR="003F4F9C" w:rsidRPr="00C80377" w:rsidRDefault="00B06D72">
      <w:pPr>
        <w:pStyle w:val="Zkladntext"/>
        <w:ind w:right="107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DA je v zadní části vybaven LED světelným zařízením v provedení „alej“ vyzařujícím světlo oranžové barvy a tvořeným nejméně 5 svítilnami (každá s nejméně 3 diodami). Světelné zařízení umožňuje  pracovat  nejméně  ve  3  režimech  –  směrování  vlevo,  výst</w:t>
      </w:r>
      <w:r w:rsidRPr="00C80377">
        <w:rPr>
          <w:sz w:val="20"/>
          <w:szCs w:val="20"/>
        </w:rPr>
        <w:t>ražný  mód  a směrování vpravo. Ovládací prvky a signalizace činnosti jsou umístěny v dosahu sedadla řidiče. Zapojení světelného zařízení znemožňuje jeho užití za jízdy</w:t>
      </w:r>
      <w:r w:rsidRPr="00C80377">
        <w:rPr>
          <w:spacing w:val="-12"/>
          <w:sz w:val="20"/>
          <w:szCs w:val="20"/>
        </w:rPr>
        <w:t xml:space="preserve"> </w:t>
      </w:r>
      <w:r w:rsidRPr="00C80377">
        <w:rPr>
          <w:sz w:val="20"/>
          <w:szCs w:val="20"/>
        </w:rPr>
        <w:t>DA.</w:t>
      </w:r>
    </w:p>
    <w:p w:rsidR="003F4F9C" w:rsidRPr="00C80377" w:rsidRDefault="003F4F9C">
      <w:pPr>
        <w:pStyle w:val="Odstavecseseznamem"/>
        <w:numPr>
          <w:ilvl w:val="1"/>
          <w:numId w:val="2"/>
        </w:numPr>
        <w:tabs>
          <w:tab w:val="left" w:pos="685"/>
        </w:tabs>
        <w:spacing w:before="120"/>
        <w:ind w:left="684" w:hanging="567"/>
        <w:rPr>
          <w:sz w:val="20"/>
          <w:szCs w:val="20"/>
        </w:rPr>
      </w:pPr>
    </w:p>
    <w:p w:rsidR="003F4F9C" w:rsidRPr="00C80377" w:rsidRDefault="00B06D72">
      <w:pPr>
        <w:pStyle w:val="Zkladntext"/>
        <w:ind w:right="108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Pro barevnou úpravu DA je použita bílá barva RAL 9003 a červ</w:t>
      </w:r>
      <w:r w:rsidRPr="00C80377">
        <w:rPr>
          <w:sz w:val="20"/>
          <w:szCs w:val="20"/>
        </w:rPr>
        <w:t>ená barva RAL 3020. Bílý vodorovný pruh je umístěn po obou stranách karoserie DA v celé její délce.</w:t>
      </w:r>
    </w:p>
    <w:p w:rsidR="003F4F9C" w:rsidRPr="00C80377" w:rsidRDefault="003F4F9C">
      <w:pPr>
        <w:pStyle w:val="Odstavecseseznamem"/>
        <w:numPr>
          <w:ilvl w:val="1"/>
          <w:numId w:val="2"/>
        </w:numPr>
        <w:tabs>
          <w:tab w:val="left" w:pos="685"/>
        </w:tabs>
        <w:spacing w:before="120"/>
        <w:ind w:left="684" w:hanging="567"/>
        <w:rPr>
          <w:sz w:val="20"/>
          <w:szCs w:val="20"/>
        </w:rPr>
      </w:pPr>
    </w:p>
    <w:p w:rsidR="003F4F9C" w:rsidRPr="00C80377" w:rsidRDefault="00B06D72">
      <w:pPr>
        <w:pStyle w:val="Zkladntext"/>
        <w:ind w:right="109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V  bílém  zvýrazňujícím  vodorovném  pruhu  na  obou  předních  dveřích  kabiny  osádky     je umístěn nápis s označením dislokace je</w:t>
      </w:r>
      <w:r w:rsidRPr="00C80377">
        <w:rPr>
          <w:sz w:val="20"/>
          <w:szCs w:val="20"/>
        </w:rPr>
        <w:t>dnotky. V prvním řádku je text „SBOR DOBROVOLNÝCH HASIČŮ“, v druhém řádku je název obce</w:t>
      </w:r>
      <w:r w:rsidRPr="00C80377">
        <w:rPr>
          <w:spacing w:val="-22"/>
          <w:sz w:val="20"/>
          <w:szCs w:val="20"/>
        </w:rPr>
        <w:t xml:space="preserve"> </w:t>
      </w:r>
      <w:r w:rsidRPr="00C80377">
        <w:rPr>
          <w:sz w:val="20"/>
          <w:szCs w:val="20"/>
        </w:rPr>
        <w:t>„NOŠOVICE“.</w:t>
      </w:r>
    </w:p>
    <w:p w:rsidR="003F4F9C" w:rsidRPr="00C80377" w:rsidRDefault="003F4F9C">
      <w:pPr>
        <w:pStyle w:val="Odstavecseseznamem"/>
        <w:numPr>
          <w:ilvl w:val="1"/>
          <w:numId w:val="2"/>
        </w:numPr>
        <w:tabs>
          <w:tab w:val="left" w:pos="685"/>
        </w:tabs>
        <w:spacing w:before="120"/>
        <w:ind w:left="684" w:hanging="567"/>
        <w:rPr>
          <w:sz w:val="20"/>
          <w:szCs w:val="20"/>
        </w:rPr>
      </w:pPr>
    </w:p>
    <w:p w:rsidR="003F4F9C" w:rsidRPr="00C80377" w:rsidRDefault="00B06D72">
      <w:pPr>
        <w:pStyle w:val="Zkladntext"/>
        <w:ind w:right="109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Na  přední  části  karosérie  kabiny  osádky  je  umístěn  nápis  „HASIČI“  o výšce  písma   100 až 200</w:t>
      </w:r>
      <w:r w:rsidRPr="00C80377">
        <w:rPr>
          <w:spacing w:val="-2"/>
          <w:sz w:val="20"/>
          <w:szCs w:val="20"/>
        </w:rPr>
        <w:t xml:space="preserve"> </w:t>
      </w:r>
      <w:r w:rsidRPr="00C80377">
        <w:rPr>
          <w:sz w:val="20"/>
          <w:szCs w:val="20"/>
        </w:rPr>
        <w:t>mm.</w:t>
      </w:r>
    </w:p>
    <w:p w:rsidR="003F4F9C" w:rsidRPr="00C80377" w:rsidRDefault="003F4F9C">
      <w:pPr>
        <w:pStyle w:val="Odstavecseseznamem"/>
        <w:numPr>
          <w:ilvl w:val="1"/>
          <w:numId w:val="2"/>
        </w:numPr>
        <w:tabs>
          <w:tab w:val="left" w:pos="685"/>
        </w:tabs>
        <w:spacing w:before="120"/>
        <w:ind w:left="684" w:hanging="567"/>
        <w:rPr>
          <w:sz w:val="20"/>
          <w:szCs w:val="20"/>
        </w:rPr>
      </w:pPr>
    </w:p>
    <w:p w:rsidR="003F4F9C" w:rsidRPr="00C80377" w:rsidRDefault="00B06D72">
      <w:pPr>
        <w:pStyle w:val="Zkladntext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Veškeré nápisy jsou provedeny kolmým bezpatkovým písmem, písmeny velké abecedy.</w:t>
      </w:r>
    </w:p>
    <w:p w:rsidR="003F4F9C" w:rsidRPr="00C80377" w:rsidRDefault="003F4F9C">
      <w:pPr>
        <w:pStyle w:val="Odstavecseseznamem"/>
        <w:numPr>
          <w:ilvl w:val="1"/>
          <w:numId w:val="2"/>
        </w:numPr>
        <w:tabs>
          <w:tab w:val="left" w:pos="685"/>
        </w:tabs>
        <w:spacing w:before="120"/>
        <w:ind w:left="684" w:hanging="567"/>
        <w:rPr>
          <w:sz w:val="20"/>
          <w:szCs w:val="20"/>
        </w:rPr>
      </w:pPr>
    </w:p>
    <w:p w:rsidR="003F4F9C" w:rsidRPr="00C80377" w:rsidRDefault="00B06D72">
      <w:pPr>
        <w:pStyle w:val="Zkladntext"/>
        <w:ind w:right="108"/>
        <w:jc w:val="both"/>
        <w:rPr>
          <w:sz w:val="20"/>
          <w:szCs w:val="20"/>
        </w:rPr>
      </w:pPr>
      <w:r w:rsidRPr="00C80377">
        <w:rPr>
          <w:sz w:val="20"/>
          <w:szCs w:val="20"/>
        </w:rPr>
        <w:t xml:space="preserve">DA je vybaven tažným zařízením typu ISO-50X pro připojení požárního přívěsu kategorie O2 o celkové hmotnosti nejméně 2000 kg, vybavené zásuvkou 12 V – </w:t>
      </w:r>
      <w:r w:rsidRPr="00C80377">
        <w:rPr>
          <w:sz w:val="20"/>
          <w:szCs w:val="20"/>
        </w:rPr>
        <w:t>13 pin. Součástí dodávky  je redukce 13/7</w:t>
      </w:r>
      <w:r w:rsidRPr="00C80377">
        <w:rPr>
          <w:spacing w:val="-4"/>
          <w:sz w:val="20"/>
          <w:szCs w:val="20"/>
        </w:rPr>
        <w:t xml:space="preserve"> </w:t>
      </w:r>
      <w:r w:rsidRPr="00C80377">
        <w:rPr>
          <w:sz w:val="20"/>
          <w:szCs w:val="20"/>
        </w:rPr>
        <w:t>pin.</w:t>
      </w:r>
    </w:p>
    <w:p w:rsidR="003F4F9C" w:rsidRPr="00C80377" w:rsidRDefault="003F4F9C">
      <w:pPr>
        <w:pStyle w:val="Odstavecseseznamem"/>
        <w:numPr>
          <w:ilvl w:val="1"/>
          <w:numId w:val="2"/>
        </w:numPr>
        <w:tabs>
          <w:tab w:val="left" w:pos="685"/>
        </w:tabs>
        <w:spacing w:before="120"/>
        <w:ind w:left="684" w:hanging="567"/>
        <w:rPr>
          <w:sz w:val="20"/>
          <w:szCs w:val="20"/>
        </w:rPr>
      </w:pPr>
    </w:p>
    <w:p w:rsidR="003F4F9C" w:rsidRDefault="00B06D72">
      <w:pPr>
        <w:pStyle w:val="Zkladntext"/>
        <w:ind w:right="108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Kabina osádky DA je vybavena nejméně osmi sedadly. Sedadla jsou umístěna ve  třech řadách, orientována po směru jízdy a každé z nich je vybaveno bezpečnostním pásem.  Sedadlo řidiče je od</w:t>
      </w:r>
      <w:r w:rsidRPr="00C80377">
        <w:rPr>
          <w:sz w:val="20"/>
          <w:szCs w:val="20"/>
        </w:rPr>
        <w:t>pružené a splňuje samostatné nastavení opěradla, nastavení délky, nastavení výšky a nastavení sklonu sedadla. Sedadlo řidiče je vybaveno loketními, sklopnými, opěrkami. Pod druhou a třetí řadou sedadel jsou úložné boxy pro uložení drobného požárního příslu</w:t>
      </w:r>
      <w:r w:rsidRPr="00C80377">
        <w:rPr>
          <w:sz w:val="20"/>
          <w:szCs w:val="20"/>
        </w:rPr>
        <w:t>šenství.</w:t>
      </w:r>
    </w:p>
    <w:p w:rsidR="00C80377" w:rsidRPr="00C80377" w:rsidRDefault="00C80377">
      <w:pPr>
        <w:pStyle w:val="Zkladntext"/>
        <w:ind w:right="108"/>
        <w:jc w:val="both"/>
        <w:rPr>
          <w:sz w:val="20"/>
          <w:szCs w:val="20"/>
        </w:rPr>
      </w:pPr>
    </w:p>
    <w:p w:rsidR="003F4F9C" w:rsidRPr="00C80377" w:rsidRDefault="00B06D72">
      <w:pPr>
        <w:pStyle w:val="Odstavecseseznamem"/>
        <w:numPr>
          <w:ilvl w:val="0"/>
          <w:numId w:val="3"/>
        </w:numPr>
        <w:tabs>
          <w:tab w:val="left" w:pos="541"/>
          <w:tab w:val="left" w:pos="542"/>
        </w:tabs>
        <w:spacing w:before="70"/>
        <w:ind w:left="542" w:hanging="425"/>
        <w:rPr>
          <w:sz w:val="20"/>
          <w:szCs w:val="20"/>
        </w:rPr>
      </w:pPr>
      <w:r w:rsidRPr="00C80377">
        <w:rPr>
          <w:sz w:val="20"/>
          <w:szCs w:val="20"/>
        </w:rPr>
        <w:t>DA je vybaven následujícími položkami požárního</w:t>
      </w:r>
      <w:r w:rsidRPr="00C80377">
        <w:rPr>
          <w:spacing w:val="-13"/>
          <w:sz w:val="20"/>
          <w:szCs w:val="20"/>
        </w:rPr>
        <w:t xml:space="preserve"> </w:t>
      </w:r>
      <w:r w:rsidRPr="00C80377">
        <w:rPr>
          <w:sz w:val="20"/>
          <w:szCs w:val="20"/>
        </w:rPr>
        <w:t>příslušenství:</w:t>
      </w:r>
    </w:p>
    <w:p w:rsidR="003F4F9C" w:rsidRPr="00C80377" w:rsidRDefault="003F4F9C">
      <w:pPr>
        <w:pStyle w:val="Zkladntext"/>
        <w:spacing w:before="7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0"/>
        <w:gridCol w:w="1560"/>
        <w:gridCol w:w="1120"/>
        <w:gridCol w:w="1120"/>
      </w:tblGrid>
      <w:tr w:rsidR="003F4F9C" w:rsidRPr="00C80377">
        <w:trPr>
          <w:trHeight w:hRule="exact" w:val="655"/>
        </w:trPr>
        <w:tc>
          <w:tcPr>
            <w:tcW w:w="5480" w:type="dxa"/>
          </w:tcPr>
          <w:p w:rsidR="003F4F9C" w:rsidRPr="00C80377" w:rsidRDefault="00B06D72">
            <w:pPr>
              <w:pStyle w:val="TableParagraph"/>
              <w:spacing w:before="182"/>
              <w:ind w:left="64" w:right="0"/>
              <w:jc w:val="left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název požárního příslušenství</w:t>
            </w:r>
          </w:p>
        </w:tc>
        <w:tc>
          <w:tcPr>
            <w:tcW w:w="1560" w:type="dxa"/>
          </w:tcPr>
          <w:p w:rsidR="003F4F9C" w:rsidRPr="00C80377" w:rsidRDefault="00B06D72">
            <w:pPr>
              <w:pStyle w:val="TableParagraph"/>
              <w:spacing w:before="44"/>
              <w:ind w:left="301" w:right="282" w:firstLine="212"/>
              <w:jc w:val="left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počet kusů/párů</w:t>
            </w:r>
          </w:p>
        </w:tc>
        <w:tc>
          <w:tcPr>
            <w:tcW w:w="1120" w:type="dxa"/>
          </w:tcPr>
          <w:p w:rsidR="003F4F9C" w:rsidRPr="00C80377" w:rsidRDefault="00B06D72">
            <w:pPr>
              <w:pStyle w:val="TableParagraph"/>
              <w:spacing w:before="44"/>
              <w:ind w:left="101" w:right="83" w:firstLine="219"/>
              <w:jc w:val="left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dodá zadavatel</w:t>
            </w:r>
          </w:p>
        </w:tc>
        <w:tc>
          <w:tcPr>
            <w:tcW w:w="1120" w:type="dxa"/>
          </w:tcPr>
          <w:p w:rsidR="003F4F9C" w:rsidRPr="00C80377" w:rsidRDefault="00B06D72">
            <w:pPr>
              <w:pStyle w:val="TableParagraph"/>
              <w:spacing w:before="44"/>
              <w:ind w:left="148" w:right="148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dodá</w:t>
            </w:r>
          </w:p>
          <w:p w:rsidR="003F4F9C" w:rsidRPr="00C80377" w:rsidRDefault="00B06D72">
            <w:pPr>
              <w:pStyle w:val="TableParagraph"/>
              <w:spacing w:before="0"/>
              <w:ind w:left="148" w:right="148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výrobce</w:t>
            </w:r>
          </w:p>
        </w:tc>
      </w:tr>
      <w:tr w:rsidR="003F4F9C" w:rsidRPr="00C80377">
        <w:trPr>
          <w:trHeight w:hRule="exact" w:val="563"/>
        </w:trPr>
        <w:tc>
          <w:tcPr>
            <w:tcW w:w="5480" w:type="dxa"/>
          </w:tcPr>
          <w:p w:rsidR="003F4F9C" w:rsidRPr="00C80377" w:rsidRDefault="00B06D72">
            <w:pPr>
              <w:pStyle w:val="TableParagraph"/>
              <w:spacing w:before="0"/>
              <w:ind w:left="64" w:right="1334"/>
              <w:jc w:val="left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lékárnička velikost III v batohu o rozměru 460x250x200 mm</w:t>
            </w:r>
          </w:p>
        </w:tc>
        <w:tc>
          <w:tcPr>
            <w:tcW w:w="1560" w:type="dxa"/>
          </w:tcPr>
          <w:p w:rsidR="003F4F9C" w:rsidRPr="00C80377" w:rsidRDefault="00B06D72">
            <w:pPr>
              <w:pStyle w:val="TableParagraph"/>
              <w:spacing w:before="136"/>
              <w:ind w:right="0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:rsidR="003F4F9C" w:rsidRPr="00C80377" w:rsidRDefault="00B06D72">
            <w:pPr>
              <w:pStyle w:val="TableParagraph"/>
              <w:spacing w:before="136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:rsidR="003F4F9C" w:rsidRPr="00C80377" w:rsidRDefault="00B06D72">
            <w:pPr>
              <w:pStyle w:val="TableParagraph"/>
              <w:spacing w:before="136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0</w:t>
            </w:r>
          </w:p>
        </w:tc>
      </w:tr>
      <w:tr w:rsidR="003F4F9C" w:rsidRPr="00C80377">
        <w:trPr>
          <w:trHeight w:hRule="exact" w:val="340"/>
        </w:trPr>
        <w:tc>
          <w:tcPr>
            <w:tcW w:w="5480" w:type="dxa"/>
          </w:tcPr>
          <w:p w:rsidR="003F4F9C" w:rsidRPr="00C80377" w:rsidRDefault="00B06D72">
            <w:pPr>
              <w:pStyle w:val="TableParagraph"/>
              <w:spacing w:before="23"/>
              <w:ind w:left="64" w:right="0"/>
              <w:jc w:val="left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požární světlomet s kloubovým úchytem</w:t>
            </w:r>
          </w:p>
        </w:tc>
        <w:tc>
          <w:tcPr>
            <w:tcW w:w="1560" w:type="dxa"/>
          </w:tcPr>
          <w:p w:rsidR="003F4F9C" w:rsidRPr="00C80377" w:rsidRDefault="00B06D72">
            <w:pPr>
              <w:pStyle w:val="TableParagraph"/>
              <w:spacing w:before="23"/>
              <w:ind w:right="0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3F4F9C" w:rsidRPr="00C80377" w:rsidRDefault="00B06D72">
            <w:pPr>
              <w:pStyle w:val="TableParagraph"/>
              <w:spacing w:before="23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3F4F9C" w:rsidRPr="00C80377" w:rsidRDefault="00B06D72">
            <w:pPr>
              <w:pStyle w:val="TableParagraph"/>
              <w:spacing w:before="23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2</w:t>
            </w:r>
          </w:p>
        </w:tc>
      </w:tr>
      <w:tr w:rsidR="003F4F9C" w:rsidRPr="00C80377">
        <w:trPr>
          <w:trHeight w:hRule="exact" w:val="382"/>
        </w:trPr>
        <w:tc>
          <w:tcPr>
            <w:tcW w:w="5480" w:type="dxa"/>
          </w:tcPr>
          <w:p w:rsidR="003F4F9C" w:rsidRPr="00C80377" w:rsidRDefault="00B06D72">
            <w:pPr>
              <w:pStyle w:val="TableParagraph"/>
              <w:spacing w:before="44"/>
              <w:ind w:left="64" w:right="0"/>
              <w:jc w:val="left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přenosný hasicí přístroj CO</w:t>
            </w:r>
            <w:r w:rsidRPr="00C80377">
              <w:rPr>
                <w:position w:val="-2"/>
                <w:sz w:val="20"/>
                <w:szCs w:val="20"/>
              </w:rPr>
              <w:t xml:space="preserve">2 </w:t>
            </w:r>
            <w:r w:rsidRPr="00C80377">
              <w:rPr>
                <w:sz w:val="20"/>
                <w:szCs w:val="20"/>
              </w:rPr>
              <w:t>s hasicí schopností 89B</w:t>
            </w:r>
          </w:p>
        </w:tc>
        <w:tc>
          <w:tcPr>
            <w:tcW w:w="1560" w:type="dxa"/>
          </w:tcPr>
          <w:p w:rsidR="003F4F9C" w:rsidRPr="00C80377" w:rsidRDefault="00B06D72">
            <w:pPr>
              <w:pStyle w:val="TableParagraph"/>
              <w:spacing w:before="44"/>
              <w:ind w:right="0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:rsidR="003F4F9C" w:rsidRPr="00C80377" w:rsidRDefault="00B06D72">
            <w:pPr>
              <w:pStyle w:val="TableParagraph"/>
              <w:spacing w:before="44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:rsidR="003F4F9C" w:rsidRPr="00C80377" w:rsidRDefault="00B06D72">
            <w:pPr>
              <w:pStyle w:val="TableParagraph"/>
              <w:spacing w:before="44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0</w:t>
            </w:r>
          </w:p>
        </w:tc>
      </w:tr>
      <w:tr w:rsidR="003F4F9C" w:rsidRPr="00C80377">
        <w:trPr>
          <w:trHeight w:hRule="exact" w:val="655"/>
        </w:trPr>
        <w:tc>
          <w:tcPr>
            <w:tcW w:w="5480" w:type="dxa"/>
          </w:tcPr>
          <w:p w:rsidR="003F4F9C" w:rsidRPr="00C80377" w:rsidRDefault="00B06D72">
            <w:pPr>
              <w:pStyle w:val="TableParagraph"/>
              <w:spacing w:before="43"/>
              <w:ind w:left="64" w:right="334"/>
              <w:jc w:val="left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přenosný hasicí přístroj práškový s hasicí schopností 34A a zároveň 183B</w:t>
            </w:r>
          </w:p>
        </w:tc>
        <w:tc>
          <w:tcPr>
            <w:tcW w:w="1560" w:type="dxa"/>
          </w:tcPr>
          <w:p w:rsidR="003F4F9C" w:rsidRPr="00C80377" w:rsidRDefault="00B06D72">
            <w:pPr>
              <w:pStyle w:val="TableParagraph"/>
              <w:spacing w:before="181"/>
              <w:ind w:right="0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:rsidR="003F4F9C" w:rsidRPr="00C80377" w:rsidRDefault="00B06D72">
            <w:pPr>
              <w:pStyle w:val="TableParagraph"/>
              <w:spacing w:before="181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:rsidR="003F4F9C" w:rsidRPr="00C80377" w:rsidRDefault="00B06D72">
            <w:pPr>
              <w:pStyle w:val="TableParagraph"/>
              <w:spacing w:before="181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0</w:t>
            </w:r>
          </w:p>
        </w:tc>
      </w:tr>
      <w:tr w:rsidR="003F4F9C" w:rsidRPr="00C80377">
        <w:trPr>
          <w:trHeight w:hRule="exact" w:val="562"/>
        </w:trPr>
        <w:tc>
          <w:tcPr>
            <w:tcW w:w="5480" w:type="dxa"/>
          </w:tcPr>
          <w:p w:rsidR="003F4F9C" w:rsidRPr="00C80377" w:rsidRDefault="00B06D72">
            <w:pPr>
              <w:pStyle w:val="TableParagraph"/>
              <w:spacing w:before="0"/>
              <w:ind w:left="64" w:right="860"/>
              <w:jc w:val="left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ruční svítilna s dobíjecími akumulátory typu SURVIVOR LED ATEX, výrobce Streamlight</w:t>
            </w:r>
          </w:p>
        </w:tc>
        <w:tc>
          <w:tcPr>
            <w:tcW w:w="1560" w:type="dxa"/>
          </w:tcPr>
          <w:p w:rsidR="003F4F9C" w:rsidRPr="00C80377" w:rsidRDefault="00B06D72">
            <w:pPr>
              <w:pStyle w:val="TableParagraph"/>
              <w:spacing w:before="134"/>
              <w:ind w:right="0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3F4F9C" w:rsidRPr="00C80377" w:rsidRDefault="00B06D72">
            <w:pPr>
              <w:pStyle w:val="TableParagraph"/>
              <w:spacing w:before="134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3F4F9C" w:rsidRPr="00C80377" w:rsidRDefault="00B06D72">
            <w:pPr>
              <w:pStyle w:val="TableParagraph"/>
              <w:spacing w:before="134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0</w:t>
            </w:r>
          </w:p>
        </w:tc>
      </w:tr>
      <w:tr w:rsidR="003F4F9C" w:rsidRPr="00C80377">
        <w:trPr>
          <w:trHeight w:hRule="exact" w:val="341"/>
        </w:trPr>
        <w:tc>
          <w:tcPr>
            <w:tcW w:w="5480" w:type="dxa"/>
          </w:tcPr>
          <w:p w:rsidR="003F4F9C" w:rsidRPr="00C80377" w:rsidRDefault="00B06D72">
            <w:pPr>
              <w:pStyle w:val="TableParagraph"/>
              <w:ind w:left="64" w:right="0"/>
              <w:jc w:val="left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ruční vyprošťovací nástroj</w:t>
            </w:r>
          </w:p>
        </w:tc>
        <w:tc>
          <w:tcPr>
            <w:tcW w:w="1560" w:type="dxa"/>
          </w:tcPr>
          <w:p w:rsidR="003F4F9C" w:rsidRPr="00C80377" w:rsidRDefault="00B06D72">
            <w:pPr>
              <w:pStyle w:val="TableParagraph"/>
              <w:ind w:right="0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:rsidR="003F4F9C" w:rsidRPr="00C80377" w:rsidRDefault="00B06D72">
            <w:pPr>
              <w:pStyle w:val="TableParagraph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3F4F9C" w:rsidRPr="00C80377" w:rsidRDefault="00B06D72">
            <w:pPr>
              <w:pStyle w:val="TableParagraph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1</w:t>
            </w:r>
          </w:p>
        </w:tc>
      </w:tr>
      <w:tr w:rsidR="003F4F9C" w:rsidRPr="00C80377">
        <w:trPr>
          <w:trHeight w:hRule="exact" w:val="562"/>
        </w:trPr>
        <w:tc>
          <w:tcPr>
            <w:tcW w:w="5480" w:type="dxa"/>
          </w:tcPr>
          <w:p w:rsidR="003F4F9C" w:rsidRPr="00C80377" w:rsidRDefault="00B06D72">
            <w:pPr>
              <w:pStyle w:val="TableParagraph"/>
              <w:spacing w:before="134"/>
              <w:ind w:left="64" w:right="0"/>
              <w:jc w:val="left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rukavice lékařské pro jednorázové použití nesterilní</w:t>
            </w:r>
          </w:p>
        </w:tc>
        <w:tc>
          <w:tcPr>
            <w:tcW w:w="1560" w:type="dxa"/>
          </w:tcPr>
          <w:p w:rsidR="003F4F9C" w:rsidRPr="00C80377" w:rsidRDefault="00B06D72">
            <w:pPr>
              <w:pStyle w:val="TableParagraph"/>
              <w:spacing w:before="0"/>
              <w:ind w:left="407" w:right="390" w:firstLine="28"/>
              <w:jc w:val="left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2 páry/ sedadlo</w:t>
            </w:r>
          </w:p>
        </w:tc>
        <w:tc>
          <w:tcPr>
            <w:tcW w:w="1120" w:type="dxa"/>
          </w:tcPr>
          <w:p w:rsidR="003F4F9C" w:rsidRPr="00C80377" w:rsidRDefault="00B06D72">
            <w:pPr>
              <w:pStyle w:val="TableParagraph"/>
              <w:spacing w:before="134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3F4F9C" w:rsidRPr="00C80377" w:rsidRDefault="00B06D72">
            <w:pPr>
              <w:pStyle w:val="TableParagraph"/>
              <w:spacing w:before="0"/>
              <w:ind w:left="188" w:right="168" w:firstLine="28"/>
              <w:jc w:val="left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2 páry/ sedadlo</w:t>
            </w:r>
          </w:p>
        </w:tc>
      </w:tr>
      <w:tr w:rsidR="003F4F9C" w:rsidRPr="00C80377">
        <w:trPr>
          <w:trHeight w:hRule="exact" w:val="340"/>
        </w:trPr>
        <w:tc>
          <w:tcPr>
            <w:tcW w:w="5480" w:type="dxa"/>
          </w:tcPr>
          <w:p w:rsidR="003F4F9C" w:rsidRPr="00C80377" w:rsidRDefault="00B06D72">
            <w:pPr>
              <w:pStyle w:val="TableParagraph"/>
              <w:ind w:left="64" w:right="0"/>
              <w:jc w:val="left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vyprošťovací nůž (řezák) na bezpečnostní pásy</w:t>
            </w:r>
          </w:p>
        </w:tc>
        <w:tc>
          <w:tcPr>
            <w:tcW w:w="1560" w:type="dxa"/>
          </w:tcPr>
          <w:p w:rsidR="003F4F9C" w:rsidRPr="00C80377" w:rsidRDefault="00B06D72">
            <w:pPr>
              <w:pStyle w:val="TableParagraph"/>
              <w:ind w:right="0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3F4F9C" w:rsidRPr="00C80377" w:rsidRDefault="00B06D72">
            <w:pPr>
              <w:pStyle w:val="TableParagraph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3F4F9C" w:rsidRPr="00C80377" w:rsidRDefault="00B06D72">
            <w:pPr>
              <w:pStyle w:val="TableParagraph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2</w:t>
            </w:r>
          </w:p>
        </w:tc>
      </w:tr>
      <w:tr w:rsidR="003F4F9C" w:rsidRPr="00C80377">
        <w:trPr>
          <w:trHeight w:hRule="exact" w:val="341"/>
        </w:trPr>
        <w:tc>
          <w:tcPr>
            <w:tcW w:w="5480" w:type="dxa"/>
          </w:tcPr>
          <w:p w:rsidR="003F4F9C" w:rsidRPr="00C80377" w:rsidRDefault="00B06D72">
            <w:pPr>
              <w:pStyle w:val="TableParagraph"/>
              <w:ind w:left="64" w:right="0"/>
              <w:jc w:val="left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vytyčovací červenobílá páska 500 m</w:t>
            </w:r>
          </w:p>
        </w:tc>
        <w:tc>
          <w:tcPr>
            <w:tcW w:w="1560" w:type="dxa"/>
          </w:tcPr>
          <w:p w:rsidR="003F4F9C" w:rsidRPr="00C80377" w:rsidRDefault="00B06D72">
            <w:pPr>
              <w:pStyle w:val="TableParagraph"/>
              <w:ind w:right="0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:rsidR="003F4F9C" w:rsidRPr="00C80377" w:rsidRDefault="00B06D72">
            <w:pPr>
              <w:pStyle w:val="TableParagraph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3F4F9C" w:rsidRPr="00C80377" w:rsidRDefault="00B06D72">
            <w:pPr>
              <w:pStyle w:val="TableParagraph"/>
              <w:rPr>
                <w:sz w:val="20"/>
                <w:szCs w:val="20"/>
              </w:rPr>
            </w:pPr>
            <w:r w:rsidRPr="00C80377">
              <w:rPr>
                <w:sz w:val="20"/>
                <w:szCs w:val="20"/>
              </w:rPr>
              <w:t>1</w:t>
            </w:r>
          </w:p>
        </w:tc>
      </w:tr>
    </w:tbl>
    <w:p w:rsidR="003F4F9C" w:rsidRDefault="00B06D72">
      <w:pPr>
        <w:pStyle w:val="Odstavecseseznamem"/>
        <w:numPr>
          <w:ilvl w:val="0"/>
          <w:numId w:val="3"/>
        </w:numPr>
        <w:tabs>
          <w:tab w:val="left" w:pos="543"/>
          <w:tab w:val="left" w:pos="544"/>
        </w:tabs>
        <w:spacing w:before="116"/>
        <w:ind w:right="109"/>
        <w:rPr>
          <w:sz w:val="20"/>
          <w:szCs w:val="20"/>
        </w:rPr>
      </w:pPr>
      <w:r w:rsidRPr="00C80377">
        <w:rPr>
          <w:sz w:val="20"/>
          <w:szCs w:val="20"/>
        </w:rPr>
        <w:t>DA  není  vybaven  zabudovaným  zařízením   prvotního   zásahu,   motorovou   stříkačkou ani požárním</w:t>
      </w:r>
      <w:r w:rsidRPr="00C80377">
        <w:rPr>
          <w:spacing w:val="-5"/>
          <w:sz w:val="20"/>
          <w:szCs w:val="20"/>
        </w:rPr>
        <w:t xml:space="preserve"> </w:t>
      </w:r>
      <w:r w:rsidRPr="00C80377">
        <w:rPr>
          <w:sz w:val="20"/>
          <w:szCs w:val="20"/>
        </w:rPr>
        <w:t>čerpadlem.</w:t>
      </w:r>
    </w:p>
    <w:p w:rsidR="00C80377" w:rsidRPr="00C80377" w:rsidRDefault="00C80377" w:rsidP="00C80377">
      <w:pPr>
        <w:pStyle w:val="Odstavecseseznamem"/>
        <w:tabs>
          <w:tab w:val="left" w:pos="543"/>
          <w:tab w:val="left" w:pos="544"/>
        </w:tabs>
        <w:spacing w:before="116"/>
        <w:ind w:left="543" w:right="109" w:firstLine="0"/>
        <w:rPr>
          <w:sz w:val="20"/>
          <w:szCs w:val="20"/>
        </w:rPr>
      </w:pPr>
    </w:p>
    <w:p w:rsidR="003F4F9C" w:rsidRPr="00C80377" w:rsidRDefault="00B06D72">
      <w:pPr>
        <w:pStyle w:val="Odstavecseseznamem"/>
        <w:numPr>
          <w:ilvl w:val="0"/>
          <w:numId w:val="3"/>
        </w:numPr>
        <w:tabs>
          <w:tab w:val="left" w:pos="543"/>
          <w:tab w:val="left" w:pos="544"/>
        </w:tabs>
        <w:spacing w:before="119"/>
        <w:ind w:right="108"/>
        <w:rPr>
          <w:sz w:val="20"/>
          <w:szCs w:val="20"/>
        </w:rPr>
      </w:pPr>
      <w:r w:rsidRPr="00C80377">
        <w:rPr>
          <w:sz w:val="20"/>
          <w:szCs w:val="20"/>
        </w:rPr>
        <w:t>Zavazadlový prostor DA je přístupný dveřmi na zadní straně karosérie a při uložení předepsaného rozsahu požárního</w:t>
      </w:r>
      <w:r w:rsidRPr="00C80377">
        <w:rPr>
          <w:spacing w:val="-11"/>
          <w:sz w:val="20"/>
          <w:szCs w:val="20"/>
        </w:rPr>
        <w:t xml:space="preserve"> </w:t>
      </w:r>
      <w:r w:rsidRPr="00C80377">
        <w:rPr>
          <w:sz w:val="20"/>
          <w:szCs w:val="20"/>
        </w:rPr>
        <w:t>příslušenství:</w:t>
      </w:r>
    </w:p>
    <w:p w:rsidR="003F4F9C" w:rsidRPr="00C80377" w:rsidRDefault="00B06D72">
      <w:pPr>
        <w:pStyle w:val="Odstavecseseznamem"/>
        <w:numPr>
          <w:ilvl w:val="1"/>
          <w:numId w:val="3"/>
        </w:numPr>
        <w:tabs>
          <w:tab w:val="left" w:pos="827"/>
        </w:tabs>
        <w:ind w:right="109" w:hanging="283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umožňuje uložení zavazadel v počtu shodném s počtem sedadel s velikostí každého nejméně 120 l a hmotností nejméně 30</w:t>
      </w:r>
      <w:r w:rsidRPr="00C80377">
        <w:rPr>
          <w:spacing w:val="-7"/>
          <w:sz w:val="20"/>
          <w:szCs w:val="20"/>
        </w:rPr>
        <w:t xml:space="preserve"> </w:t>
      </w:r>
      <w:r w:rsidRPr="00C80377">
        <w:rPr>
          <w:sz w:val="20"/>
          <w:szCs w:val="20"/>
        </w:rPr>
        <w:t>kg,</w:t>
      </w:r>
    </w:p>
    <w:p w:rsidR="003F4F9C" w:rsidRPr="00C80377" w:rsidRDefault="00B06D72">
      <w:pPr>
        <w:pStyle w:val="Odstavecseseznamem"/>
        <w:numPr>
          <w:ilvl w:val="1"/>
          <w:numId w:val="3"/>
        </w:numPr>
        <w:tabs>
          <w:tab w:val="left" w:pos="827"/>
        </w:tabs>
        <w:ind w:right="110" w:hanging="283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má vyu</w:t>
      </w:r>
      <w:r w:rsidRPr="00C80377">
        <w:rPr>
          <w:sz w:val="20"/>
          <w:szCs w:val="20"/>
        </w:rPr>
        <w:t>žitelné rozměry nejméně 1000 x 700 mm ve výšce 900 mm od podlahy a má nejméně čtyři kotvící body s tažnou silou každého nejméně 3 kN. Nejmenší rozměr musí být dodržen v celé výšce od podlahy, tedy od 0 až do 900</w:t>
      </w:r>
      <w:r w:rsidRPr="00C80377">
        <w:rPr>
          <w:spacing w:val="-9"/>
          <w:sz w:val="20"/>
          <w:szCs w:val="20"/>
        </w:rPr>
        <w:t xml:space="preserve"> </w:t>
      </w:r>
      <w:r w:rsidRPr="00C80377">
        <w:rPr>
          <w:sz w:val="20"/>
          <w:szCs w:val="20"/>
        </w:rPr>
        <w:t>mm,</w:t>
      </w:r>
    </w:p>
    <w:p w:rsidR="003F4F9C" w:rsidRPr="00C80377" w:rsidRDefault="00B06D72">
      <w:pPr>
        <w:pStyle w:val="Odstavecseseznamem"/>
        <w:numPr>
          <w:ilvl w:val="1"/>
          <w:numId w:val="3"/>
        </w:numPr>
        <w:tabs>
          <w:tab w:val="left" w:pos="827"/>
        </w:tabs>
        <w:ind w:right="110" w:hanging="283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je vybaven výsuvným prvkem, s aretací ve</w:t>
      </w:r>
      <w:r w:rsidRPr="00C80377">
        <w:rPr>
          <w:sz w:val="20"/>
          <w:szCs w:val="20"/>
        </w:rPr>
        <w:t xml:space="preserve"> vysunuté poloze, s nosností nejméně 200 kg      a kotevními body pro umístění motorové</w:t>
      </w:r>
      <w:r w:rsidRPr="00C80377">
        <w:rPr>
          <w:spacing w:val="-10"/>
          <w:sz w:val="20"/>
          <w:szCs w:val="20"/>
        </w:rPr>
        <w:t xml:space="preserve"> </w:t>
      </w:r>
      <w:r w:rsidRPr="00C80377">
        <w:rPr>
          <w:sz w:val="20"/>
          <w:szCs w:val="20"/>
        </w:rPr>
        <w:t>stříkačky,</w:t>
      </w:r>
    </w:p>
    <w:p w:rsidR="003F4F9C" w:rsidRPr="00C80377" w:rsidRDefault="00B06D72">
      <w:pPr>
        <w:pStyle w:val="Odstavecseseznamem"/>
        <w:numPr>
          <w:ilvl w:val="1"/>
          <w:numId w:val="3"/>
        </w:numPr>
        <w:tabs>
          <w:tab w:val="left" w:pos="827"/>
        </w:tabs>
        <w:ind w:hanging="283"/>
        <w:rPr>
          <w:sz w:val="20"/>
          <w:szCs w:val="20"/>
        </w:rPr>
      </w:pPr>
      <w:r w:rsidRPr="00C80377">
        <w:rPr>
          <w:sz w:val="20"/>
          <w:szCs w:val="20"/>
        </w:rPr>
        <w:t>je vybaven policemi pro uložení drobného požárního</w:t>
      </w:r>
      <w:r w:rsidRPr="00C80377">
        <w:rPr>
          <w:spacing w:val="-14"/>
          <w:sz w:val="20"/>
          <w:szCs w:val="20"/>
        </w:rPr>
        <w:t xml:space="preserve"> </w:t>
      </w:r>
      <w:r w:rsidRPr="00C80377">
        <w:rPr>
          <w:sz w:val="20"/>
          <w:szCs w:val="20"/>
        </w:rPr>
        <w:t>příslušenství,</w:t>
      </w:r>
    </w:p>
    <w:p w:rsidR="003F4F9C" w:rsidRPr="00C80377" w:rsidRDefault="00B06D72">
      <w:pPr>
        <w:pStyle w:val="Odstavecseseznamem"/>
        <w:numPr>
          <w:ilvl w:val="1"/>
          <w:numId w:val="3"/>
        </w:numPr>
        <w:tabs>
          <w:tab w:val="left" w:pos="827"/>
        </w:tabs>
        <w:ind w:right="110" w:hanging="283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je   vybaven   nejméně   dvěma    samostatnýma    automobilovými    zásuvkami    typu    CL</w:t>
      </w:r>
      <w:r w:rsidRPr="00C80377">
        <w:rPr>
          <w:spacing w:val="-5"/>
          <w:sz w:val="20"/>
          <w:szCs w:val="20"/>
        </w:rPr>
        <w:t xml:space="preserve"> </w:t>
      </w:r>
      <w:r w:rsidRPr="00C80377">
        <w:rPr>
          <w:sz w:val="20"/>
          <w:szCs w:val="20"/>
        </w:rPr>
        <w:t>(„zapalovač“),</w:t>
      </w:r>
    </w:p>
    <w:p w:rsidR="003F4F9C" w:rsidRDefault="00B06D72">
      <w:pPr>
        <w:pStyle w:val="Odstavecseseznamem"/>
        <w:numPr>
          <w:ilvl w:val="1"/>
          <w:numId w:val="3"/>
        </w:numPr>
        <w:tabs>
          <w:tab w:val="left" w:pos="827"/>
        </w:tabs>
        <w:ind w:right="110" w:hanging="283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je oddělen od prostoru kabiny osádky bezpečnostní přepážkou, součástí přepážky je police pro uložení věcných prostředků požární</w:t>
      </w:r>
      <w:r w:rsidRPr="00C80377">
        <w:rPr>
          <w:spacing w:val="-8"/>
          <w:sz w:val="20"/>
          <w:szCs w:val="20"/>
        </w:rPr>
        <w:t xml:space="preserve"> </w:t>
      </w:r>
      <w:r w:rsidRPr="00C80377">
        <w:rPr>
          <w:sz w:val="20"/>
          <w:szCs w:val="20"/>
        </w:rPr>
        <w:t>ochrany.</w:t>
      </w:r>
    </w:p>
    <w:p w:rsidR="00C80377" w:rsidRPr="00C80377" w:rsidRDefault="00C80377" w:rsidP="00C80377">
      <w:pPr>
        <w:pStyle w:val="Odstavecseseznamem"/>
        <w:tabs>
          <w:tab w:val="left" w:pos="827"/>
        </w:tabs>
        <w:ind w:right="110" w:firstLine="0"/>
        <w:rPr>
          <w:sz w:val="20"/>
          <w:szCs w:val="20"/>
        </w:rPr>
      </w:pPr>
    </w:p>
    <w:p w:rsidR="003F4F9C" w:rsidRPr="00C80377" w:rsidRDefault="00B06D72">
      <w:pPr>
        <w:pStyle w:val="Odstavecseseznamem"/>
        <w:numPr>
          <w:ilvl w:val="0"/>
          <w:numId w:val="3"/>
        </w:numPr>
        <w:tabs>
          <w:tab w:val="left" w:pos="544"/>
        </w:tabs>
        <w:spacing w:before="119"/>
        <w:ind w:right="109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DA je vybaven střešním nosičem s nosností nejméně 100 kg pro uložení zavazadel. Střešní nosič je tvořen</w:t>
      </w:r>
      <w:r w:rsidRPr="00C80377">
        <w:rPr>
          <w:sz w:val="20"/>
          <w:szCs w:val="20"/>
        </w:rPr>
        <w:t xml:space="preserve"> nejméně 3 příčníky a pochozí plošinou s bočnicemi pro uložení zavazadel. Vstup na střechu je zajištěn žebříkem s neklouzavou úpravou, vyrobeným z korozivzdorných materiálů. Žebřík je upevněn na zadních dveřích</w:t>
      </w:r>
      <w:r w:rsidRPr="00C80377">
        <w:rPr>
          <w:spacing w:val="-12"/>
          <w:sz w:val="20"/>
          <w:szCs w:val="20"/>
        </w:rPr>
        <w:t xml:space="preserve"> </w:t>
      </w:r>
      <w:r w:rsidRPr="00C80377">
        <w:rPr>
          <w:sz w:val="20"/>
          <w:szCs w:val="20"/>
        </w:rPr>
        <w:t>vpravo.</w:t>
      </w:r>
    </w:p>
    <w:p w:rsidR="003F4F9C" w:rsidRPr="00C80377" w:rsidRDefault="00B06D72">
      <w:pPr>
        <w:pStyle w:val="Odstavecseseznamem"/>
        <w:numPr>
          <w:ilvl w:val="0"/>
          <w:numId w:val="3"/>
        </w:numPr>
        <w:tabs>
          <w:tab w:val="left" w:pos="543"/>
          <w:tab w:val="left" w:pos="544"/>
        </w:tabs>
        <w:spacing w:before="119"/>
        <w:ind w:right="108"/>
        <w:rPr>
          <w:sz w:val="20"/>
          <w:szCs w:val="20"/>
        </w:rPr>
      </w:pPr>
      <w:r w:rsidRPr="00C80377">
        <w:rPr>
          <w:sz w:val="20"/>
          <w:szCs w:val="20"/>
        </w:rPr>
        <w:lastRenderedPageBreak/>
        <w:t>Výška vnitřního prostoru DA je nejmén</w:t>
      </w:r>
      <w:r w:rsidRPr="00C80377">
        <w:rPr>
          <w:sz w:val="20"/>
          <w:szCs w:val="20"/>
        </w:rPr>
        <w:t>ě  1800  mm  (měřeno  od  podlahy  po obložení  stropu</w:t>
      </w:r>
      <w:r w:rsidRPr="00C80377">
        <w:rPr>
          <w:spacing w:val="-3"/>
          <w:sz w:val="20"/>
          <w:szCs w:val="20"/>
        </w:rPr>
        <w:t xml:space="preserve"> </w:t>
      </w:r>
      <w:r w:rsidRPr="00C80377">
        <w:rPr>
          <w:sz w:val="20"/>
          <w:szCs w:val="20"/>
        </w:rPr>
        <w:t>DA).</w:t>
      </w:r>
    </w:p>
    <w:p w:rsidR="003F4F9C" w:rsidRPr="00C80377" w:rsidRDefault="00B06D72">
      <w:pPr>
        <w:pStyle w:val="Odstavecseseznamem"/>
        <w:numPr>
          <w:ilvl w:val="0"/>
          <w:numId w:val="3"/>
        </w:numPr>
        <w:tabs>
          <w:tab w:val="left" w:pos="543"/>
          <w:tab w:val="left" w:pos="544"/>
        </w:tabs>
        <w:spacing w:before="119"/>
        <w:rPr>
          <w:sz w:val="20"/>
          <w:szCs w:val="20"/>
        </w:rPr>
      </w:pPr>
      <w:r w:rsidRPr="00C80377">
        <w:rPr>
          <w:sz w:val="20"/>
          <w:szCs w:val="20"/>
        </w:rPr>
        <w:t>DA je konstruován s uspořádáním náprav 4 x 4 s pohonem všech</w:t>
      </w:r>
      <w:r w:rsidRPr="00C80377">
        <w:rPr>
          <w:spacing w:val="-8"/>
          <w:sz w:val="20"/>
          <w:szCs w:val="20"/>
        </w:rPr>
        <w:t xml:space="preserve"> </w:t>
      </w:r>
      <w:r w:rsidRPr="00C80377">
        <w:rPr>
          <w:sz w:val="20"/>
          <w:szCs w:val="20"/>
        </w:rPr>
        <w:t>kol.</w:t>
      </w:r>
    </w:p>
    <w:p w:rsidR="003F4F9C" w:rsidRPr="00C80377" w:rsidRDefault="00B06D72">
      <w:pPr>
        <w:pStyle w:val="Odstavecseseznamem"/>
        <w:numPr>
          <w:ilvl w:val="0"/>
          <w:numId w:val="3"/>
        </w:numPr>
        <w:tabs>
          <w:tab w:val="left" w:pos="544"/>
        </w:tabs>
        <w:spacing w:before="119"/>
        <w:rPr>
          <w:sz w:val="20"/>
          <w:szCs w:val="20"/>
        </w:rPr>
      </w:pPr>
      <w:r w:rsidRPr="00C80377">
        <w:rPr>
          <w:sz w:val="20"/>
          <w:szCs w:val="20"/>
        </w:rPr>
        <w:t>DA je vybaven elektronickou uzávěrkou</w:t>
      </w:r>
      <w:r w:rsidRPr="00C80377">
        <w:rPr>
          <w:spacing w:val="-6"/>
          <w:sz w:val="20"/>
          <w:szCs w:val="20"/>
        </w:rPr>
        <w:t xml:space="preserve"> </w:t>
      </w:r>
      <w:r w:rsidRPr="00C80377">
        <w:rPr>
          <w:sz w:val="20"/>
          <w:szCs w:val="20"/>
        </w:rPr>
        <w:t>kol.</w:t>
      </w:r>
    </w:p>
    <w:p w:rsidR="003F4F9C" w:rsidRPr="00C80377" w:rsidRDefault="00B06D72">
      <w:pPr>
        <w:pStyle w:val="Odstavecseseznamem"/>
        <w:numPr>
          <w:ilvl w:val="0"/>
          <w:numId w:val="3"/>
        </w:numPr>
        <w:tabs>
          <w:tab w:val="left" w:pos="544"/>
        </w:tabs>
        <w:spacing w:before="119"/>
        <w:ind w:right="108"/>
        <w:rPr>
          <w:sz w:val="20"/>
          <w:szCs w:val="20"/>
        </w:rPr>
      </w:pPr>
      <w:r w:rsidRPr="00C80377">
        <w:rPr>
          <w:sz w:val="20"/>
          <w:szCs w:val="20"/>
        </w:rPr>
        <w:t>DA je vybaven zařízením proti blokování provozních brzd typu ABS nebo obdobným zařízením.</w:t>
      </w:r>
    </w:p>
    <w:p w:rsidR="003F4F9C" w:rsidRPr="00C80377" w:rsidRDefault="00B06D72">
      <w:pPr>
        <w:pStyle w:val="Odstavecseseznamem"/>
        <w:numPr>
          <w:ilvl w:val="0"/>
          <w:numId w:val="3"/>
        </w:numPr>
        <w:tabs>
          <w:tab w:val="left" w:pos="544"/>
        </w:tabs>
        <w:spacing w:before="119"/>
        <w:ind w:right="109"/>
        <w:rPr>
          <w:sz w:val="20"/>
          <w:szCs w:val="20"/>
        </w:rPr>
      </w:pPr>
      <w:r w:rsidRPr="00C80377">
        <w:rPr>
          <w:sz w:val="20"/>
          <w:szCs w:val="20"/>
        </w:rPr>
        <w:t>Obě nápravy jsou  osazeny  koly  vybavenými  pneumatikami  konstruovanými  pro provoz  na sněhu a ledu s označením 3PMSF („alpský</w:t>
      </w:r>
      <w:r w:rsidRPr="00C80377">
        <w:rPr>
          <w:spacing w:val="-10"/>
          <w:sz w:val="20"/>
          <w:szCs w:val="20"/>
        </w:rPr>
        <w:t xml:space="preserve"> </w:t>
      </w:r>
      <w:r w:rsidRPr="00C80377">
        <w:rPr>
          <w:sz w:val="20"/>
          <w:szCs w:val="20"/>
        </w:rPr>
        <w:t>štít“).</w:t>
      </w:r>
    </w:p>
    <w:p w:rsidR="003F4F9C" w:rsidRPr="00C80377" w:rsidRDefault="00B06D72">
      <w:pPr>
        <w:pStyle w:val="Odstavecseseznamem"/>
        <w:numPr>
          <w:ilvl w:val="0"/>
          <w:numId w:val="3"/>
        </w:numPr>
        <w:tabs>
          <w:tab w:val="left" w:pos="544"/>
        </w:tabs>
        <w:spacing w:before="118"/>
        <w:rPr>
          <w:sz w:val="20"/>
          <w:szCs w:val="20"/>
        </w:rPr>
      </w:pPr>
      <w:r w:rsidRPr="00C80377">
        <w:rPr>
          <w:sz w:val="20"/>
          <w:szCs w:val="20"/>
        </w:rPr>
        <w:t>DA je vybaven nejméně airbag</w:t>
      </w:r>
      <w:r w:rsidRPr="00C80377">
        <w:rPr>
          <w:sz w:val="20"/>
          <w:szCs w:val="20"/>
        </w:rPr>
        <w:t>em řidiče a</w:t>
      </w:r>
      <w:r w:rsidRPr="00C80377">
        <w:rPr>
          <w:spacing w:val="-11"/>
          <w:sz w:val="20"/>
          <w:szCs w:val="20"/>
        </w:rPr>
        <w:t xml:space="preserve"> </w:t>
      </w:r>
      <w:r w:rsidRPr="00C80377">
        <w:rPr>
          <w:sz w:val="20"/>
          <w:szCs w:val="20"/>
        </w:rPr>
        <w:t>spolujezdce.</w:t>
      </w:r>
    </w:p>
    <w:p w:rsidR="003F4F9C" w:rsidRPr="00C80377" w:rsidRDefault="003F4F9C">
      <w:pPr>
        <w:rPr>
          <w:sz w:val="20"/>
          <w:szCs w:val="20"/>
        </w:rPr>
        <w:sectPr w:rsidR="003F4F9C" w:rsidRPr="00C80377">
          <w:headerReference w:type="default" r:id="rId8"/>
          <w:footerReference w:type="default" r:id="rId9"/>
          <w:pgSz w:w="11910" w:h="16840"/>
          <w:pgMar w:top="900" w:right="880" w:bottom="1240" w:left="1300" w:header="0" w:footer="1051" w:gutter="0"/>
          <w:cols w:space="708"/>
        </w:sectPr>
      </w:pPr>
    </w:p>
    <w:p w:rsidR="003F4F9C" w:rsidRPr="00C80377" w:rsidRDefault="00B06D72">
      <w:pPr>
        <w:pStyle w:val="Odstavecseseznamem"/>
        <w:numPr>
          <w:ilvl w:val="0"/>
          <w:numId w:val="3"/>
        </w:numPr>
        <w:tabs>
          <w:tab w:val="left" w:pos="544"/>
        </w:tabs>
        <w:spacing w:before="70"/>
        <w:rPr>
          <w:sz w:val="20"/>
          <w:szCs w:val="20"/>
        </w:rPr>
      </w:pPr>
      <w:r w:rsidRPr="00C80377">
        <w:rPr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86pt;margin-top:779.4pt;width:94.4pt;height:51.55pt;z-index:-8464;mso-position-horizontal-relative:page;mso-position-vertical-relative:page" filled="f" stroked="f">
            <v:textbox inset="0,0,0,0">
              <w:txbxContent>
                <w:p w:rsidR="003F4F9C" w:rsidRDefault="00B06D72">
                  <w:pPr>
                    <w:spacing w:line="266" w:lineRule="exact"/>
                    <w:ind w:left="868" w:right="67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/5</w:t>
                  </w:r>
                </w:p>
              </w:txbxContent>
            </v:textbox>
            <w10:wrap anchorx="page" anchory="page"/>
          </v:shape>
        </w:pict>
      </w:r>
      <w:r w:rsidRPr="00C80377">
        <w:rPr>
          <w:sz w:val="20"/>
          <w:szCs w:val="20"/>
        </w:rPr>
        <w:t>DA je dále</w:t>
      </w:r>
      <w:r w:rsidRPr="00C80377">
        <w:rPr>
          <w:spacing w:val="-4"/>
          <w:sz w:val="20"/>
          <w:szCs w:val="20"/>
        </w:rPr>
        <w:t xml:space="preserve"> </w:t>
      </w:r>
      <w:r w:rsidRPr="00C80377">
        <w:rPr>
          <w:sz w:val="20"/>
          <w:szCs w:val="20"/>
        </w:rPr>
        <w:t>vybaven:</w:t>
      </w:r>
    </w:p>
    <w:p w:rsidR="003F4F9C" w:rsidRPr="00C80377" w:rsidRDefault="00B06D72">
      <w:pPr>
        <w:pStyle w:val="Odstavecseseznamem"/>
        <w:numPr>
          <w:ilvl w:val="0"/>
          <w:numId w:val="1"/>
        </w:numPr>
        <w:tabs>
          <w:tab w:val="left" w:pos="827"/>
        </w:tabs>
        <w:ind w:hanging="284"/>
        <w:rPr>
          <w:sz w:val="20"/>
          <w:szCs w:val="20"/>
        </w:rPr>
      </w:pPr>
      <w:r w:rsidRPr="00C80377">
        <w:rPr>
          <w:sz w:val="20"/>
          <w:szCs w:val="20"/>
        </w:rPr>
        <w:t>centrálním zamykáním s dálkovým</w:t>
      </w:r>
      <w:r w:rsidRPr="00C80377">
        <w:rPr>
          <w:spacing w:val="-8"/>
          <w:sz w:val="20"/>
          <w:szCs w:val="20"/>
        </w:rPr>
        <w:t xml:space="preserve"> </w:t>
      </w:r>
      <w:r w:rsidRPr="00C80377">
        <w:rPr>
          <w:sz w:val="20"/>
          <w:szCs w:val="20"/>
        </w:rPr>
        <w:t>ovládáním,</w:t>
      </w:r>
    </w:p>
    <w:p w:rsidR="003F4F9C" w:rsidRPr="00C80377" w:rsidRDefault="00B06D72">
      <w:pPr>
        <w:pStyle w:val="Odstavecseseznamem"/>
        <w:numPr>
          <w:ilvl w:val="0"/>
          <w:numId w:val="1"/>
        </w:numPr>
        <w:tabs>
          <w:tab w:val="left" w:pos="827"/>
        </w:tabs>
        <w:ind w:hanging="284"/>
        <w:rPr>
          <w:sz w:val="20"/>
          <w:szCs w:val="20"/>
        </w:rPr>
      </w:pPr>
      <w:r w:rsidRPr="00C80377">
        <w:rPr>
          <w:sz w:val="20"/>
          <w:szCs w:val="20"/>
        </w:rPr>
        <w:t>předními elektricky ovládanými</w:t>
      </w:r>
      <w:r w:rsidRPr="00C80377">
        <w:rPr>
          <w:spacing w:val="-6"/>
          <w:sz w:val="20"/>
          <w:szCs w:val="20"/>
        </w:rPr>
        <w:t xml:space="preserve"> </w:t>
      </w:r>
      <w:r w:rsidRPr="00C80377">
        <w:rPr>
          <w:sz w:val="20"/>
          <w:szCs w:val="20"/>
        </w:rPr>
        <w:t>okny,</w:t>
      </w:r>
    </w:p>
    <w:p w:rsidR="003F4F9C" w:rsidRPr="00C80377" w:rsidRDefault="00B06D72">
      <w:pPr>
        <w:pStyle w:val="Odstavecseseznamem"/>
        <w:numPr>
          <w:ilvl w:val="0"/>
          <w:numId w:val="1"/>
        </w:numPr>
        <w:tabs>
          <w:tab w:val="left" w:pos="827"/>
        </w:tabs>
        <w:ind w:hanging="284"/>
        <w:rPr>
          <w:sz w:val="20"/>
          <w:szCs w:val="20"/>
        </w:rPr>
      </w:pPr>
      <w:r w:rsidRPr="00C80377">
        <w:rPr>
          <w:sz w:val="20"/>
          <w:szCs w:val="20"/>
        </w:rPr>
        <w:t>posuvnými okny v prostoru druhé řady</w:t>
      </w:r>
      <w:r w:rsidRPr="00C80377">
        <w:rPr>
          <w:spacing w:val="-4"/>
          <w:sz w:val="20"/>
          <w:szCs w:val="20"/>
        </w:rPr>
        <w:t xml:space="preserve"> </w:t>
      </w:r>
      <w:r w:rsidRPr="00C80377">
        <w:rPr>
          <w:sz w:val="20"/>
          <w:szCs w:val="20"/>
        </w:rPr>
        <w:t>sedadel,</w:t>
      </w:r>
    </w:p>
    <w:p w:rsidR="003F4F9C" w:rsidRPr="00C80377" w:rsidRDefault="00B06D72">
      <w:pPr>
        <w:pStyle w:val="Odstavecseseznamem"/>
        <w:numPr>
          <w:ilvl w:val="0"/>
          <w:numId w:val="1"/>
        </w:numPr>
        <w:tabs>
          <w:tab w:val="left" w:pos="827"/>
        </w:tabs>
        <w:ind w:hanging="284"/>
        <w:rPr>
          <w:sz w:val="20"/>
          <w:szCs w:val="20"/>
        </w:rPr>
      </w:pPr>
      <w:r w:rsidRPr="00C80377">
        <w:rPr>
          <w:sz w:val="20"/>
          <w:szCs w:val="20"/>
        </w:rPr>
        <w:t>předními lapači</w:t>
      </w:r>
      <w:r w:rsidRPr="00C80377">
        <w:rPr>
          <w:spacing w:val="-7"/>
          <w:sz w:val="20"/>
          <w:szCs w:val="20"/>
        </w:rPr>
        <w:t xml:space="preserve"> </w:t>
      </w:r>
      <w:r w:rsidRPr="00C80377">
        <w:rPr>
          <w:sz w:val="20"/>
          <w:szCs w:val="20"/>
        </w:rPr>
        <w:t>nečistot,</w:t>
      </w:r>
    </w:p>
    <w:p w:rsidR="003F4F9C" w:rsidRPr="00C80377" w:rsidRDefault="00B06D72">
      <w:pPr>
        <w:pStyle w:val="Odstavecseseznamem"/>
        <w:numPr>
          <w:ilvl w:val="0"/>
          <w:numId w:val="1"/>
        </w:numPr>
        <w:tabs>
          <w:tab w:val="left" w:pos="827"/>
        </w:tabs>
        <w:ind w:hanging="284"/>
        <w:rPr>
          <w:sz w:val="20"/>
          <w:szCs w:val="20"/>
        </w:rPr>
      </w:pPr>
      <w:r w:rsidRPr="00C80377">
        <w:rPr>
          <w:sz w:val="20"/>
          <w:szCs w:val="20"/>
        </w:rPr>
        <w:t>zadními lapači</w:t>
      </w:r>
      <w:r w:rsidRPr="00C80377">
        <w:rPr>
          <w:spacing w:val="-5"/>
          <w:sz w:val="20"/>
          <w:szCs w:val="20"/>
        </w:rPr>
        <w:t xml:space="preserve"> </w:t>
      </w:r>
      <w:r w:rsidRPr="00C80377">
        <w:rPr>
          <w:sz w:val="20"/>
          <w:szCs w:val="20"/>
        </w:rPr>
        <w:t>nečistot,</w:t>
      </w:r>
    </w:p>
    <w:p w:rsidR="003F4F9C" w:rsidRPr="00C80377" w:rsidRDefault="00B06D72">
      <w:pPr>
        <w:pStyle w:val="Odstavecseseznamem"/>
        <w:numPr>
          <w:ilvl w:val="0"/>
          <w:numId w:val="1"/>
        </w:numPr>
        <w:tabs>
          <w:tab w:val="left" w:pos="827"/>
        </w:tabs>
        <w:ind w:hanging="284"/>
        <w:rPr>
          <w:sz w:val="20"/>
          <w:szCs w:val="20"/>
        </w:rPr>
      </w:pPr>
      <w:r w:rsidRPr="00C80377">
        <w:rPr>
          <w:sz w:val="20"/>
          <w:szCs w:val="20"/>
        </w:rPr>
        <w:t>ochranným krytem pod</w:t>
      </w:r>
      <w:r w:rsidRPr="00C80377">
        <w:rPr>
          <w:spacing w:val="-6"/>
          <w:sz w:val="20"/>
          <w:szCs w:val="20"/>
        </w:rPr>
        <w:t xml:space="preserve"> </w:t>
      </w:r>
      <w:r w:rsidRPr="00C80377">
        <w:rPr>
          <w:sz w:val="20"/>
          <w:szCs w:val="20"/>
        </w:rPr>
        <w:t>motorem,</w:t>
      </w:r>
    </w:p>
    <w:p w:rsidR="003F4F9C" w:rsidRPr="00C80377" w:rsidRDefault="00B06D72">
      <w:pPr>
        <w:pStyle w:val="Odstavecseseznamem"/>
        <w:numPr>
          <w:ilvl w:val="0"/>
          <w:numId w:val="1"/>
        </w:numPr>
        <w:tabs>
          <w:tab w:val="left" w:pos="827"/>
        </w:tabs>
        <w:ind w:hanging="284"/>
        <w:rPr>
          <w:sz w:val="20"/>
          <w:szCs w:val="20"/>
        </w:rPr>
      </w:pPr>
      <w:r w:rsidRPr="00C80377">
        <w:rPr>
          <w:sz w:val="20"/>
          <w:szCs w:val="20"/>
        </w:rPr>
        <w:t>osvětlením prostoru kabiny osádky i zavazadlového</w:t>
      </w:r>
      <w:r w:rsidRPr="00C80377">
        <w:rPr>
          <w:spacing w:val="-15"/>
          <w:sz w:val="20"/>
          <w:szCs w:val="20"/>
        </w:rPr>
        <w:t xml:space="preserve"> </w:t>
      </w:r>
      <w:r w:rsidRPr="00C80377">
        <w:rPr>
          <w:sz w:val="20"/>
          <w:szCs w:val="20"/>
        </w:rPr>
        <w:t>prostoru,</w:t>
      </w:r>
    </w:p>
    <w:p w:rsidR="003F4F9C" w:rsidRPr="00C80377" w:rsidRDefault="00B06D72">
      <w:pPr>
        <w:pStyle w:val="Odstavecseseznamem"/>
        <w:numPr>
          <w:ilvl w:val="0"/>
          <w:numId w:val="1"/>
        </w:numPr>
        <w:tabs>
          <w:tab w:val="left" w:pos="827"/>
        </w:tabs>
        <w:ind w:hanging="284"/>
        <w:rPr>
          <w:sz w:val="20"/>
          <w:szCs w:val="20"/>
        </w:rPr>
      </w:pPr>
      <w:r w:rsidRPr="00C80377">
        <w:rPr>
          <w:sz w:val="20"/>
          <w:szCs w:val="20"/>
        </w:rPr>
        <w:t>zatmavenými okny v prostoru kabiny osádky v souladu s platnými právními</w:t>
      </w:r>
      <w:r w:rsidRPr="00C80377">
        <w:rPr>
          <w:spacing w:val="-17"/>
          <w:sz w:val="20"/>
          <w:szCs w:val="20"/>
        </w:rPr>
        <w:t xml:space="preserve"> </w:t>
      </w:r>
      <w:r w:rsidRPr="00C80377">
        <w:rPr>
          <w:sz w:val="20"/>
          <w:szCs w:val="20"/>
        </w:rPr>
        <w:t>předpisy.</w:t>
      </w:r>
    </w:p>
    <w:p w:rsidR="003F4F9C" w:rsidRPr="00C80377" w:rsidRDefault="00B06D72">
      <w:pPr>
        <w:pStyle w:val="Odstavecseseznamem"/>
        <w:numPr>
          <w:ilvl w:val="0"/>
          <w:numId w:val="3"/>
        </w:numPr>
        <w:tabs>
          <w:tab w:val="left" w:pos="544"/>
        </w:tabs>
        <w:spacing w:before="119"/>
        <w:ind w:right="808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Součástí DA je povinná výbava motorových a přípojných vozidel stanovená právním předpisem. Veškeré příslušenství potřebné pro výměnu kola je umístěno v DA a je součástí dodávky, plnohodnotné náhradní kolo k DA je dodáno samostatně,</w:t>
      </w:r>
      <w:r w:rsidRPr="00C80377">
        <w:rPr>
          <w:spacing w:val="-15"/>
          <w:sz w:val="20"/>
          <w:szCs w:val="20"/>
        </w:rPr>
        <w:t xml:space="preserve"> </w:t>
      </w:r>
      <w:r w:rsidRPr="00C80377">
        <w:rPr>
          <w:sz w:val="20"/>
          <w:szCs w:val="20"/>
        </w:rPr>
        <w:t>příbalem.</w:t>
      </w:r>
    </w:p>
    <w:p w:rsidR="003F4F9C" w:rsidRPr="00C80377" w:rsidRDefault="00B06D72">
      <w:pPr>
        <w:pStyle w:val="Odstavecseseznamem"/>
        <w:numPr>
          <w:ilvl w:val="0"/>
          <w:numId w:val="3"/>
        </w:numPr>
        <w:tabs>
          <w:tab w:val="left" w:pos="544"/>
        </w:tabs>
        <w:spacing w:before="119"/>
        <w:ind w:right="809"/>
        <w:jc w:val="both"/>
        <w:rPr>
          <w:sz w:val="20"/>
          <w:szCs w:val="20"/>
        </w:rPr>
      </w:pPr>
      <w:r w:rsidRPr="00C80377">
        <w:rPr>
          <w:sz w:val="20"/>
          <w:szCs w:val="20"/>
        </w:rPr>
        <w:t xml:space="preserve">Pro výrobu DA </w:t>
      </w:r>
      <w:r w:rsidRPr="00C80377">
        <w:rPr>
          <w:sz w:val="20"/>
          <w:szCs w:val="20"/>
        </w:rPr>
        <w:t>se používá pouze nový, dosud nepoužitý automobilový podvozek, který     není starší 24 měsíců a pro účelovou nástavbu pouze nové a originální</w:t>
      </w:r>
      <w:r w:rsidRPr="00C80377">
        <w:rPr>
          <w:spacing w:val="-19"/>
          <w:sz w:val="20"/>
          <w:szCs w:val="20"/>
        </w:rPr>
        <w:t xml:space="preserve"> </w:t>
      </w:r>
      <w:r w:rsidRPr="00C80377">
        <w:rPr>
          <w:sz w:val="20"/>
          <w:szCs w:val="20"/>
        </w:rPr>
        <w:t>součásti.</w:t>
      </w:r>
    </w:p>
    <w:p w:rsidR="003F4F9C" w:rsidRPr="00C80377" w:rsidRDefault="00B06D72">
      <w:pPr>
        <w:pStyle w:val="Odstavecseseznamem"/>
        <w:numPr>
          <w:ilvl w:val="0"/>
          <w:numId w:val="3"/>
        </w:numPr>
        <w:tabs>
          <w:tab w:val="left" w:pos="544"/>
        </w:tabs>
        <w:spacing w:before="119"/>
        <w:ind w:right="808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Technická životnost DA je nejméně 16 let, a to při běžném provozu u jednotky požární ochrany s ročním ki</w:t>
      </w:r>
      <w:r w:rsidRPr="00C80377">
        <w:rPr>
          <w:sz w:val="20"/>
          <w:szCs w:val="20"/>
        </w:rPr>
        <w:t>lometrovým průběhem do 10.000 km. Po celou tuto dobu je DA plně funkční.</w:t>
      </w:r>
    </w:p>
    <w:p w:rsidR="003F4F9C" w:rsidRPr="00C80377" w:rsidRDefault="00B06D72">
      <w:pPr>
        <w:pStyle w:val="Odstavecseseznamem"/>
        <w:numPr>
          <w:ilvl w:val="0"/>
          <w:numId w:val="3"/>
        </w:numPr>
        <w:tabs>
          <w:tab w:val="left" w:pos="544"/>
        </w:tabs>
        <w:spacing w:before="119"/>
        <w:ind w:right="808"/>
        <w:jc w:val="both"/>
        <w:rPr>
          <w:sz w:val="20"/>
          <w:szCs w:val="20"/>
        </w:rPr>
      </w:pPr>
      <w:r w:rsidRPr="00C80377">
        <w:rPr>
          <w:sz w:val="20"/>
          <w:szCs w:val="20"/>
        </w:rPr>
        <w:t>Všechny položky požárního příslušenství a všechna zařízení použita pro montáž do  DA splňují obecně stanovené bezpečnostní předpisy a jsou doložena návodem a příslušným dokladem (homo</w:t>
      </w:r>
      <w:r w:rsidRPr="00C80377">
        <w:rPr>
          <w:sz w:val="20"/>
          <w:szCs w:val="20"/>
        </w:rPr>
        <w:t>logace, certifikát, prohlášení o shodě</w:t>
      </w:r>
      <w:r w:rsidRPr="00C80377">
        <w:rPr>
          <w:spacing w:val="-13"/>
          <w:sz w:val="20"/>
          <w:szCs w:val="20"/>
        </w:rPr>
        <w:t xml:space="preserve"> </w:t>
      </w:r>
      <w:r w:rsidRPr="00C80377">
        <w:rPr>
          <w:sz w:val="20"/>
          <w:szCs w:val="20"/>
        </w:rPr>
        <w:t>apod.).</w:t>
      </w:r>
    </w:p>
    <w:p w:rsidR="003F4F9C" w:rsidRPr="00C80377" w:rsidRDefault="003F4F9C">
      <w:pPr>
        <w:pStyle w:val="Zkladntext"/>
        <w:ind w:left="0"/>
        <w:rPr>
          <w:sz w:val="20"/>
          <w:szCs w:val="20"/>
        </w:rPr>
      </w:pPr>
    </w:p>
    <w:p w:rsidR="003F4F9C" w:rsidRPr="00C80377" w:rsidRDefault="003F4F9C">
      <w:pPr>
        <w:pStyle w:val="Zkladntext"/>
        <w:ind w:left="0"/>
        <w:rPr>
          <w:sz w:val="20"/>
          <w:szCs w:val="20"/>
        </w:rPr>
      </w:pPr>
    </w:p>
    <w:p w:rsidR="003F4F9C" w:rsidRPr="00C80377" w:rsidRDefault="003F4F9C">
      <w:pPr>
        <w:pStyle w:val="Zkladntext"/>
        <w:ind w:left="0"/>
        <w:rPr>
          <w:sz w:val="20"/>
          <w:szCs w:val="20"/>
        </w:rPr>
      </w:pPr>
    </w:p>
    <w:p w:rsidR="003F4F9C" w:rsidRPr="00C80377" w:rsidRDefault="003F4F9C">
      <w:pPr>
        <w:pStyle w:val="Zkladntext"/>
        <w:ind w:left="0"/>
        <w:rPr>
          <w:sz w:val="20"/>
          <w:szCs w:val="20"/>
        </w:rPr>
      </w:pPr>
    </w:p>
    <w:p w:rsidR="003F4F9C" w:rsidRPr="00C80377" w:rsidRDefault="003F4F9C">
      <w:pPr>
        <w:pStyle w:val="Zkladntext"/>
        <w:ind w:left="0"/>
        <w:rPr>
          <w:sz w:val="20"/>
          <w:szCs w:val="20"/>
        </w:rPr>
      </w:pPr>
    </w:p>
    <w:p w:rsidR="003F4F9C" w:rsidRDefault="003F4F9C">
      <w:pPr>
        <w:pStyle w:val="Zkladntext"/>
        <w:ind w:left="0"/>
        <w:rPr>
          <w:sz w:val="20"/>
        </w:rPr>
      </w:pPr>
    </w:p>
    <w:p w:rsidR="003F4F9C" w:rsidRDefault="003F4F9C">
      <w:pPr>
        <w:pStyle w:val="Zkladntext"/>
        <w:ind w:left="0"/>
        <w:rPr>
          <w:sz w:val="20"/>
        </w:rPr>
      </w:pPr>
    </w:p>
    <w:p w:rsidR="003F4F9C" w:rsidRDefault="003F4F9C">
      <w:pPr>
        <w:pStyle w:val="Zkladntext"/>
        <w:ind w:left="0"/>
        <w:rPr>
          <w:sz w:val="20"/>
        </w:rPr>
      </w:pPr>
    </w:p>
    <w:p w:rsidR="003F4F9C" w:rsidRDefault="003F4F9C">
      <w:pPr>
        <w:pStyle w:val="Zkladntext"/>
        <w:ind w:left="0"/>
        <w:rPr>
          <w:sz w:val="20"/>
        </w:rPr>
      </w:pPr>
    </w:p>
    <w:p w:rsidR="003F4F9C" w:rsidRDefault="003F4F9C">
      <w:pPr>
        <w:pStyle w:val="Zkladntext"/>
        <w:ind w:left="0"/>
        <w:rPr>
          <w:sz w:val="20"/>
        </w:rPr>
      </w:pPr>
    </w:p>
    <w:p w:rsidR="003F4F9C" w:rsidRDefault="003F4F9C">
      <w:pPr>
        <w:pStyle w:val="Zkladntext"/>
        <w:ind w:left="0"/>
        <w:rPr>
          <w:sz w:val="20"/>
        </w:rPr>
      </w:pPr>
    </w:p>
    <w:p w:rsidR="003F4F9C" w:rsidRDefault="003F4F9C">
      <w:pPr>
        <w:pStyle w:val="Zkladntext"/>
        <w:ind w:left="0"/>
        <w:rPr>
          <w:sz w:val="20"/>
        </w:rPr>
      </w:pPr>
    </w:p>
    <w:p w:rsidR="003F4F9C" w:rsidRDefault="003F4F9C">
      <w:pPr>
        <w:pStyle w:val="Zkladntext"/>
        <w:ind w:left="0"/>
        <w:rPr>
          <w:sz w:val="20"/>
        </w:rPr>
      </w:pPr>
    </w:p>
    <w:p w:rsidR="003F4F9C" w:rsidRDefault="003F4F9C">
      <w:pPr>
        <w:pStyle w:val="Zkladntext"/>
        <w:ind w:left="0"/>
        <w:rPr>
          <w:sz w:val="20"/>
        </w:rPr>
      </w:pPr>
    </w:p>
    <w:p w:rsidR="003F4F9C" w:rsidRDefault="003F4F9C">
      <w:pPr>
        <w:pStyle w:val="Zkladntext"/>
        <w:ind w:left="0"/>
        <w:rPr>
          <w:sz w:val="20"/>
        </w:rPr>
      </w:pPr>
    </w:p>
    <w:p w:rsidR="003F4F9C" w:rsidRDefault="003F4F9C">
      <w:pPr>
        <w:pStyle w:val="Zkladntext"/>
        <w:ind w:left="0"/>
        <w:rPr>
          <w:sz w:val="20"/>
        </w:rPr>
      </w:pPr>
    </w:p>
    <w:p w:rsidR="003F4F9C" w:rsidRDefault="003F4F9C">
      <w:pPr>
        <w:pStyle w:val="Zkladntext"/>
        <w:ind w:left="0"/>
        <w:rPr>
          <w:sz w:val="20"/>
        </w:rPr>
      </w:pPr>
    </w:p>
    <w:p w:rsidR="003F4F9C" w:rsidRDefault="003F4F9C">
      <w:pPr>
        <w:pStyle w:val="Zkladntext"/>
        <w:ind w:left="0"/>
        <w:rPr>
          <w:sz w:val="20"/>
        </w:rPr>
      </w:pPr>
    </w:p>
    <w:p w:rsidR="003F4F9C" w:rsidRDefault="003F4F9C">
      <w:pPr>
        <w:pStyle w:val="Zkladntext"/>
        <w:ind w:left="0"/>
        <w:rPr>
          <w:sz w:val="20"/>
        </w:rPr>
      </w:pPr>
    </w:p>
    <w:p w:rsidR="003F4F9C" w:rsidRDefault="003F4F9C">
      <w:pPr>
        <w:pStyle w:val="Zkladntext"/>
        <w:ind w:left="0"/>
        <w:rPr>
          <w:sz w:val="20"/>
        </w:rPr>
      </w:pPr>
    </w:p>
    <w:p w:rsidR="003F4F9C" w:rsidRDefault="003F4F9C">
      <w:pPr>
        <w:pStyle w:val="Zkladntext"/>
        <w:ind w:left="0"/>
        <w:rPr>
          <w:sz w:val="20"/>
        </w:rPr>
      </w:pPr>
    </w:p>
    <w:p w:rsidR="003F4F9C" w:rsidRDefault="003F4F9C">
      <w:pPr>
        <w:pStyle w:val="Zkladntext"/>
        <w:ind w:left="0"/>
        <w:rPr>
          <w:sz w:val="20"/>
        </w:rPr>
      </w:pPr>
    </w:p>
    <w:p w:rsidR="003F4F9C" w:rsidRDefault="003F4F9C">
      <w:pPr>
        <w:pStyle w:val="Zkladntext"/>
        <w:ind w:left="0"/>
        <w:rPr>
          <w:sz w:val="20"/>
        </w:rPr>
      </w:pPr>
    </w:p>
    <w:p w:rsidR="003F4F9C" w:rsidRDefault="003F4F9C">
      <w:pPr>
        <w:pStyle w:val="Zkladntext"/>
        <w:ind w:left="0"/>
        <w:rPr>
          <w:sz w:val="20"/>
        </w:rPr>
      </w:pPr>
    </w:p>
    <w:p w:rsidR="003F4F9C" w:rsidRDefault="003F4F9C">
      <w:pPr>
        <w:pStyle w:val="Zkladntext"/>
        <w:ind w:left="0"/>
        <w:rPr>
          <w:sz w:val="20"/>
        </w:rPr>
      </w:pPr>
    </w:p>
    <w:p w:rsidR="003F4F9C" w:rsidRDefault="003F4F9C">
      <w:pPr>
        <w:pStyle w:val="Zkladntext"/>
        <w:spacing w:before="6"/>
        <w:ind w:left="0"/>
        <w:rPr>
          <w:sz w:val="18"/>
        </w:rPr>
      </w:pPr>
    </w:p>
    <w:sectPr w:rsidR="003F4F9C">
      <w:footerReference w:type="default" r:id="rId10"/>
      <w:pgSz w:w="11910" w:h="16840"/>
      <w:pgMar w:top="900" w:right="180" w:bottom="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6D72">
      <w:r>
        <w:separator/>
      </w:r>
    </w:p>
  </w:endnote>
  <w:endnote w:type="continuationSeparator" w:id="0">
    <w:p w:rsidR="00000000" w:rsidRDefault="00B0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F9C" w:rsidRDefault="00B06D72">
    <w:pPr>
      <w:pStyle w:val="Zkladn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8.4pt;margin-top:778.4pt;width:18.4pt;height:15.3pt;z-index:-251658752;mso-position-horizontal-relative:page;mso-position-vertical-relative:page" filled="f" stroked="f">
          <v:textbox inset="0,0,0,0">
            <w:txbxContent>
              <w:p w:rsidR="003F4F9C" w:rsidRDefault="00B06D72">
                <w:pPr>
                  <w:spacing w:before="10"/>
                  <w:ind w:left="4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b/>
                    <w:noProof/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b/>
                    <w:sz w:val="24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F9C" w:rsidRDefault="003F4F9C">
    <w:pPr>
      <w:pStyle w:val="Zkladntext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06D72">
      <w:r>
        <w:separator/>
      </w:r>
    </w:p>
  </w:footnote>
  <w:footnote w:type="continuationSeparator" w:id="0">
    <w:p w:rsidR="00000000" w:rsidRDefault="00B06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377" w:rsidRDefault="00C80377" w:rsidP="00C80377">
    <w:pPr>
      <w:pStyle w:val="Zhlav"/>
    </w:pPr>
  </w:p>
  <w:p w:rsidR="00C80377" w:rsidRDefault="00C80377" w:rsidP="00C80377">
    <w:pPr>
      <w:pStyle w:val="Zhlav"/>
    </w:pPr>
    <w:r>
      <w:t>Příloha č. 3 Technická specifikace vozidla JSDH – Výzvy pro podání nabídek</w:t>
    </w:r>
  </w:p>
  <w:p w:rsidR="00C80377" w:rsidRDefault="00C80377" w:rsidP="00C80377">
    <w:pPr>
      <w:pStyle w:val="Zhlav"/>
    </w:pPr>
    <w:r>
      <w:t>Příloha č. 1 Kupní smlouvy</w:t>
    </w:r>
  </w:p>
  <w:p w:rsidR="006F4398" w:rsidRDefault="006F439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039"/>
    <w:multiLevelType w:val="hybridMultilevel"/>
    <w:tmpl w:val="E78202D4"/>
    <w:lvl w:ilvl="0" w:tplc="F55682AA">
      <w:start w:val="1"/>
      <w:numFmt w:val="decimal"/>
      <w:lvlText w:val="%1."/>
      <w:lvlJc w:val="left"/>
      <w:pPr>
        <w:ind w:left="543" w:hanging="426"/>
        <w:jc w:val="left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</w:rPr>
    </w:lvl>
    <w:lvl w:ilvl="1" w:tplc="503EB814">
      <w:start w:val="1"/>
      <w:numFmt w:val="lowerLetter"/>
      <w:lvlText w:val="%2)"/>
      <w:lvlJc w:val="left"/>
      <w:pPr>
        <w:ind w:left="826" w:hanging="2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4B404B36">
      <w:numFmt w:val="bullet"/>
      <w:lvlText w:val="•"/>
      <w:lvlJc w:val="left"/>
      <w:pPr>
        <w:ind w:left="1809" w:hanging="280"/>
      </w:pPr>
      <w:rPr>
        <w:rFonts w:hint="default"/>
      </w:rPr>
    </w:lvl>
    <w:lvl w:ilvl="3" w:tplc="B9F8D74A">
      <w:numFmt w:val="bullet"/>
      <w:lvlText w:val="•"/>
      <w:lvlJc w:val="left"/>
      <w:pPr>
        <w:ind w:left="2799" w:hanging="280"/>
      </w:pPr>
      <w:rPr>
        <w:rFonts w:hint="default"/>
      </w:rPr>
    </w:lvl>
    <w:lvl w:ilvl="4" w:tplc="ADE0132E">
      <w:numFmt w:val="bullet"/>
      <w:lvlText w:val="•"/>
      <w:lvlJc w:val="left"/>
      <w:pPr>
        <w:ind w:left="3788" w:hanging="280"/>
      </w:pPr>
      <w:rPr>
        <w:rFonts w:hint="default"/>
      </w:rPr>
    </w:lvl>
    <w:lvl w:ilvl="5" w:tplc="3D8CB676">
      <w:numFmt w:val="bullet"/>
      <w:lvlText w:val="•"/>
      <w:lvlJc w:val="left"/>
      <w:pPr>
        <w:ind w:left="4778" w:hanging="280"/>
      </w:pPr>
      <w:rPr>
        <w:rFonts w:hint="default"/>
      </w:rPr>
    </w:lvl>
    <w:lvl w:ilvl="6" w:tplc="5EC87C1A">
      <w:numFmt w:val="bullet"/>
      <w:lvlText w:val="•"/>
      <w:lvlJc w:val="left"/>
      <w:pPr>
        <w:ind w:left="5768" w:hanging="280"/>
      </w:pPr>
      <w:rPr>
        <w:rFonts w:hint="default"/>
      </w:rPr>
    </w:lvl>
    <w:lvl w:ilvl="7" w:tplc="840C3D02">
      <w:numFmt w:val="bullet"/>
      <w:lvlText w:val="•"/>
      <w:lvlJc w:val="left"/>
      <w:pPr>
        <w:ind w:left="6757" w:hanging="280"/>
      </w:pPr>
      <w:rPr>
        <w:rFonts w:hint="default"/>
      </w:rPr>
    </w:lvl>
    <w:lvl w:ilvl="8" w:tplc="C7EC5160">
      <w:numFmt w:val="bullet"/>
      <w:lvlText w:val="•"/>
      <w:lvlJc w:val="left"/>
      <w:pPr>
        <w:ind w:left="7747" w:hanging="280"/>
      </w:pPr>
      <w:rPr>
        <w:rFonts w:hint="default"/>
      </w:rPr>
    </w:lvl>
  </w:abstractNum>
  <w:abstractNum w:abstractNumId="1">
    <w:nsid w:val="4F104BF0"/>
    <w:multiLevelType w:val="hybridMultilevel"/>
    <w:tmpl w:val="D6227736"/>
    <w:lvl w:ilvl="0" w:tplc="C67C2C0A">
      <w:numFmt w:val="bullet"/>
      <w:lvlText w:val=""/>
      <w:lvlJc w:val="left"/>
      <w:pPr>
        <w:ind w:left="826" w:hanging="285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EFD0C2E8">
      <w:numFmt w:val="bullet"/>
      <w:lvlText w:val="•"/>
      <w:lvlJc w:val="left"/>
      <w:pPr>
        <w:ind w:left="1780" w:hanging="285"/>
      </w:pPr>
      <w:rPr>
        <w:rFonts w:hint="default"/>
      </w:rPr>
    </w:lvl>
    <w:lvl w:ilvl="2" w:tplc="B9C068E6">
      <w:numFmt w:val="bullet"/>
      <w:lvlText w:val="•"/>
      <w:lvlJc w:val="left"/>
      <w:pPr>
        <w:ind w:left="2741" w:hanging="285"/>
      </w:pPr>
      <w:rPr>
        <w:rFonts w:hint="default"/>
      </w:rPr>
    </w:lvl>
    <w:lvl w:ilvl="3" w:tplc="D4BE3DDA">
      <w:numFmt w:val="bullet"/>
      <w:lvlText w:val="•"/>
      <w:lvlJc w:val="left"/>
      <w:pPr>
        <w:ind w:left="3701" w:hanging="285"/>
      </w:pPr>
      <w:rPr>
        <w:rFonts w:hint="default"/>
      </w:rPr>
    </w:lvl>
    <w:lvl w:ilvl="4" w:tplc="62C208DC">
      <w:numFmt w:val="bullet"/>
      <w:lvlText w:val="•"/>
      <w:lvlJc w:val="left"/>
      <w:pPr>
        <w:ind w:left="4662" w:hanging="285"/>
      </w:pPr>
      <w:rPr>
        <w:rFonts w:hint="default"/>
      </w:rPr>
    </w:lvl>
    <w:lvl w:ilvl="5" w:tplc="53E86BB2">
      <w:numFmt w:val="bullet"/>
      <w:lvlText w:val="•"/>
      <w:lvlJc w:val="left"/>
      <w:pPr>
        <w:ind w:left="5623" w:hanging="285"/>
      </w:pPr>
      <w:rPr>
        <w:rFonts w:hint="default"/>
      </w:rPr>
    </w:lvl>
    <w:lvl w:ilvl="6" w:tplc="EE6C66A2">
      <w:numFmt w:val="bullet"/>
      <w:lvlText w:val="•"/>
      <w:lvlJc w:val="left"/>
      <w:pPr>
        <w:ind w:left="6583" w:hanging="285"/>
      </w:pPr>
      <w:rPr>
        <w:rFonts w:hint="default"/>
      </w:rPr>
    </w:lvl>
    <w:lvl w:ilvl="7" w:tplc="BFE2EE32">
      <w:numFmt w:val="bullet"/>
      <w:lvlText w:val="•"/>
      <w:lvlJc w:val="left"/>
      <w:pPr>
        <w:ind w:left="7544" w:hanging="285"/>
      </w:pPr>
      <w:rPr>
        <w:rFonts w:hint="default"/>
      </w:rPr>
    </w:lvl>
    <w:lvl w:ilvl="8" w:tplc="B5B68758">
      <w:numFmt w:val="bullet"/>
      <w:lvlText w:val="•"/>
      <w:lvlJc w:val="left"/>
      <w:pPr>
        <w:ind w:left="8505" w:hanging="285"/>
      </w:pPr>
      <w:rPr>
        <w:rFonts w:hint="default"/>
      </w:rPr>
    </w:lvl>
  </w:abstractNum>
  <w:abstractNum w:abstractNumId="2">
    <w:nsid w:val="5B412365"/>
    <w:multiLevelType w:val="multilevel"/>
    <w:tmpl w:val="B15807D0"/>
    <w:lvl w:ilvl="0">
      <w:start w:val="3"/>
      <w:numFmt w:val="decimal"/>
      <w:lvlText w:val="%1"/>
      <w:lvlJc w:val="left"/>
      <w:pPr>
        <w:ind w:left="684" w:hanging="5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2" w:hanging="56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>
      <w:numFmt w:val="bullet"/>
      <w:lvlText w:val=""/>
      <w:lvlJc w:val="left"/>
      <w:pPr>
        <w:ind w:left="826" w:hanging="284"/>
      </w:pPr>
      <w:rPr>
        <w:rFonts w:ascii="Wingdings" w:eastAsia="Wingdings" w:hAnsi="Wingdings" w:cs="Wingdings" w:hint="default"/>
        <w:w w:val="99"/>
        <w:sz w:val="16"/>
        <w:szCs w:val="16"/>
      </w:rPr>
    </w:lvl>
    <w:lvl w:ilvl="3">
      <w:numFmt w:val="bullet"/>
      <w:lvlText w:val="•"/>
      <w:lvlJc w:val="left"/>
      <w:pPr>
        <w:ind w:left="1933" w:hanging="284"/>
      </w:pPr>
      <w:rPr>
        <w:rFonts w:hint="default"/>
      </w:rPr>
    </w:lvl>
    <w:lvl w:ilvl="4">
      <w:numFmt w:val="bullet"/>
      <w:lvlText w:val="•"/>
      <w:lvlJc w:val="left"/>
      <w:pPr>
        <w:ind w:left="3046" w:hanging="284"/>
      </w:pPr>
      <w:rPr>
        <w:rFonts w:hint="default"/>
      </w:rPr>
    </w:lvl>
    <w:lvl w:ilvl="5">
      <w:numFmt w:val="bullet"/>
      <w:lvlText w:val="•"/>
      <w:lvlJc w:val="left"/>
      <w:pPr>
        <w:ind w:left="4159" w:hanging="284"/>
      </w:pPr>
      <w:rPr>
        <w:rFonts w:hint="default"/>
      </w:rPr>
    </w:lvl>
    <w:lvl w:ilvl="6">
      <w:numFmt w:val="bullet"/>
      <w:lvlText w:val="•"/>
      <w:lvlJc w:val="left"/>
      <w:pPr>
        <w:ind w:left="5273" w:hanging="284"/>
      </w:pPr>
      <w:rPr>
        <w:rFonts w:hint="default"/>
      </w:rPr>
    </w:lvl>
    <w:lvl w:ilvl="7">
      <w:numFmt w:val="bullet"/>
      <w:lvlText w:val="•"/>
      <w:lvlJc w:val="left"/>
      <w:pPr>
        <w:ind w:left="6386" w:hanging="284"/>
      </w:pPr>
      <w:rPr>
        <w:rFonts w:hint="default"/>
      </w:rPr>
    </w:lvl>
    <w:lvl w:ilvl="8">
      <w:numFmt w:val="bullet"/>
      <w:lvlText w:val="•"/>
      <w:lvlJc w:val="left"/>
      <w:pPr>
        <w:ind w:left="7499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F4F9C"/>
    <w:rsid w:val="003F4F9C"/>
    <w:rsid w:val="006F4398"/>
    <w:rsid w:val="00B06D72"/>
    <w:rsid w:val="00C8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43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26" w:hanging="567"/>
    </w:pPr>
  </w:style>
  <w:style w:type="paragraph" w:customStyle="1" w:styleId="TableParagraph">
    <w:name w:val="Table Paragraph"/>
    <w:basedOn w:val="Normln"/>
    <w:uiPriority w:val="1"/>
    <w:qFormat/>
    <w:pPr>
      <w:spacing w:before="24"/>
      <w:ind w:right="1"/>
      <w:jc w:val="center"/>
    </w:pPr>
  </w:style>
  <w:style w:type="paragraph" w:styleId="Zhlav">
    <w:name w:val="header"/>
    <w:basedOn w:val="Normln"/>
    <w:link w:val="ZhlavChar"/>
    <w:uiPriority w:val="99"/>
    <w:unhideWhenUsed/>
    <w:rsid w:val="006F43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4398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6F43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439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1747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</vt:lpstr>
    </vt:vector>
  </TitlesOfParts>
  <Company/>
  <LinksUpToDate>false</LinksUpToDate>
  <CharactersWithSpaces>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creator>DA329756</dc:creator>
  <cp:lastModifiedBy>Roman</cp:lastModifiedBy>
  <cp:revision>3</cp:revision>
  <dcterms:created xsi:type="dcterms:W3CDTF">2021-04-08T09:38:00Z</dcterms:created>
  <dcterms:modified xsi:type="dcterms:W3CDTF">2021-04-08T08:02:00Z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2021-04-08T00:00:00Z</vt:filetime>
  </property>
</Properties>
</file>